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Heading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Heading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Heading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Heading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Heading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Heading1"/>
      </w:pPr>
      <w:r>
        <w:t>M</w:t>
      </w:r>
      <w:r w:rsidR="000D4AE7">
        <w:t xml:space="preserve">onitoring, </w:t>
      </w:r>
      <w:r>
        <w:t>mentoring</w:t>
      </w:r>
      <w:r w:rsidR="000D4AE7">
        <w:t xml:space="preserve"> and support during the activity</w:t>
      </w:r>
    </w:p>
    <w:p w:rsidR="00475119" w:rsidRPr="002F19BB" w:rsidRDefault="00475119" w:rsidP="002F19BB">
      <w:pPr>
        <w:pStyle w:val="Heading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Heading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Heading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Heading2"/>
      </w:pPr>
      <w:r w:rsidRPr="002F19BB">
        <w:t>Mentoring and monitoring arrangements</w:t>
      </w:r>
    </w:p>
    <w:p w:rsidR="00CA59A6" w:rsidRDefault="00CA59A6" w:rsidP="00CA59A6">
      <w:pPr>
        <w:pStyle w:val="BodyText"/>
      </w:pPr>
      <w:r>
        <w:t>As a minimum, the monitoring and mentoring arrangements will include the following activities:</w:t>
      </w:r>
    </w:p>
    <w:p w:rsidR="00CA59A6" w:rsidRPr="00CA59A6" w:rsidRDefault="00CA59A6" w:rsidP="00CA59A6">
      <w:pPr>
        <w:pStyle w:val="BodyText"/>
        <w:numPr>
          <w:ilvl w:val="0"/>
          <w:numId w:val="32"/>
        </w:numPr>
        <w:rPr>
          <w:highlight w:val="lightGray"/>
        </w:rPr>
      </w:pPr>
      <w:r w:rsidRPr="00CA59A6">
        <w:rPr>
          <w:highlight w:val="lightGray"/>
        </w:rPr>
        <w:t>[Activity 1]</w:t>
      </w:r>
    </w:p>
    <w:p w:rsidR="00CA59A6" w:rsidRPr="00CA59A6" w:rsidRDefault="00CA59A6" w:rsidP="00CA59A6">
      <w:pPr>
        <w:pStyle w:val="BodyText"/>
        <w:numPr>
          <w:ilvl w:val="0"/>
          <w:numId w:val="32"/>
        </w:numPr>
        <w:rPr>
          <w:highlight w:val="lightGray"/>
        </w:rPr>
      </w:pPr>
      <w:r w:rsidRPr="00CA59A6">
        <w:rPr>
          <w:highlight w:val="lightGray"/>
        </w:rPr>
        <w:t>[Activity 2]</w:t>
      </w:r>
    </w:p>
    <w:p w:rsidR="00CA59A6" w:rsidRPr="00CA59A6" w:rsidRDefault="00CA59A6" w:rsidP="00CA59A6">
      <w:pPr>
        <w:pStyle w:val="BodyText"/>
        <w:numPr>
          <w:ilvl w:val="0"/>
          <w:numId w:val="32"/>
        </w:numPr>
        <w:rPr>
          <w:highlight w:val="lightGray"/>
        </w:rPr>
      </w:pPr>
      <w:r w:rsidRPr="00CA59A6">
        <w:rPr>
          <w:highlight w:val="lightGray"/>
        </w:rPr>
        <w:t>[etc.]</w:t>
      </w:r>
    </w:p>
    <w:p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Heading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Heading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Heading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Heading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Heading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lastRenderedPageBreak/>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872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B277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0213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B968A87-FD8F-4ED6-ADE2-611B1D8E0808}"/>
</file>

<file path=customXml/itemProps4.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2022-05-31T08:39:00Z</dcterms:created>
  <dcterms:modified xsi:type="dcterms:W3CDTF">2022-05-31T08:39:00Z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