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F889" w14:textId="77777777" w:rsidR="00BE3353" w:rsidRPr="00C72587" w:rsidRDefault="00BE3353" w:rsidP="00C72587">
      <w:pPr>
        <w:jc w:val="both"/>
        <w:rPr>
          <w:rFonts w:ascii="Arial" w:hAnsi="Arial" w:cs="Arial"/>
          <w:lang w:val="hr-HR"/>
        </w:rPr>
      </w:pPr>
    </w:p>
    <w:p w14:paraId="226D71F8" w14:textId="0D4BF46A" w:rsidR="00BE3353" w:rsidRPr="00C72587" w:rsidRDefault="00BE3353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KLASA: </w:t>
      </w:r>
      <w:r w:rsidR="00B4074F" w:rsidRPr="00C72587">
        <w:rPr>
          <w:rFonts w:ascii="Arial" w:hAnsi="Arial" w:cs="Arial"/>
          <w:lang w:val="hr-HR"/>
        </w:rPr>
        <w:t>401-02/24-02/1</w:t>
      </w:r>
    </w:p>
    <w:p w14:paraId="4C5AE105" w14:textId="43374FF9" w:rsidR="000A2872" w:rsidRPr="00C72587" w:rsidRDefault="00BE3353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URBROJ: </w:t>
      </w:r>
      <w:r w:rsidR="00B4074F" w:rsidRPr="00C72587">
        <w:rPr>
          <w:rFonts w:ascii="Arial" w:hAnsi="Arial" w:cs="Arial"/>
          <w:lang w:val="hr-HR"/>
        </w:rPr>
        <w:t>359-16/1-24-1</w:t>
      </w:r>
    </w:p>
    <w:p w14:paraId="447E86F7" w14:textId="77777777" w:rsidR="00BE3353" w:rsidRPr="00C72587" w:rsidRDefault="00BE3353" w:rsidP="00C72587">
      <w:pPr>
        <w:jc w:val="both"/>
        <w:rPr>
          <w:rFonts w:ascii="Arial" w:hAnsi="Arial" w:cs="Arial"/>
          <w:lang w:val="hr-HR"/>
        </w:rPr>
      </w:pPr>
    </w:p>
    <w:p w14:paraId="37E54BD3" w14:textId="6C57CEA0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Zagreb</w:t>
      </w:r>
      <w:r w:rsidR="00F11C9C" w:rsidRPr="00C72587">
        <w:rPr>
          <w:rFonts w:ascii="Arial" w:hAnsi="Arial" w:cs="Arial"/>
          <w:lang w:val="hr-HR"/>
        </w:rPr>
        <w:t>,</w:t>
      </w:r>
      <w:r w:rsidRPr="00C72587">
        <w:rPr>
          <w:rFonts w:ascii="Arial" w:hAnsi="Arial" w:cs="Arial"/>
          <w:lang w:val="hr-HR"/>
        </w:rPr>
        <w:t xml:space="preserve"> </w:t>
      </w:r>
      <w:r w:rsidR="00276E28" w:rsidRPr="00C72587">
        <w:rPr>
          <w:rFonts w:ascii="Arial" w:hAnsi="Arial" w:cs="Arial"/>
          <w:lang w:val="hr-HR"/>
        </w:rPr>
        <w:t>31. siječnja 202</w:t>
      </w:r>
      <w:r w:rsidR="00862217" w:rsidRPr="00C72587">
        <w:rPr>
          <w:rFonts w:ascii="Arial" w:hAnsi="Arial" w:cs="Arial"/>
          <w:lang w:val="hr-HR"/>
        </w:rPr>
        <w:t>4</w:t>
      </w:r>
      <w:r w:rsidR="00276E28" w:rsidRPr="00C72587">
        <w:rPr>
          <w:rFonts w:ascii="Arial" w:hAnsi="Arial" w:cs="Arial"/>
          <w:lang w:val="hr-HR"/>
        </w:rPr>
        <w:t>.</w:t>
      </w:r>
    </w:p>
    <w:p w14:paraId="729AC0EE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</w:p>
    <w:p w14:paraId="35E85E27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Razdjela: Ministarstvo znanosti i obrazovanja</w:t>
      </w:r>
    </w:p>
    <w:p w14:paraId="2E70C307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Glava: 08091 Agencije i ostale javne ustanove u znanosti, obrazovanju i sportu</w:t>
      </w:r>
    </w:p>
    <w:p w14:paraId="36F6BA9C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RKP: 43335 Agencija za mobilnost i programe EU</w:t>
      </w:r>
    </w:p>
    <w:p w14:paraId="3261CF0F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Matični broj: 02298007</w:t>
      </w:r>
    </w:p>
    <w:p w14:paraId="6D514ADD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OIB: 25385906011</w:t>
      </w:r>
    </w:p>
    <w:p w14:paraId="62B1E703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</w:p>
    <w:p w14:paraId="5DF83920" w14:textId="77777777" w:rsidR="00B123C8" w:rsidRPr="00C72587" w:rsidRDefault="00B123C8" w:rsidP="00C72587">
      <w:pPr>
        <w:jc w:val="both"/>
        <w:rPr>
          <w:rFonts w:ascii="Arial" w:hAnsi="Arial" w:cs="Arial"/>
          <w:i/>
          <w:lang w:val="hr-HR"/>
        </w:rPr>
      </w:pPr>
    </w:p>
    <w:p w14:paraId="16B47511" w14:textId="69CF2641" w:rsidR="00B123C8" w:rsidRPr="00C72587" w:rsidRDefault="00B123C8" w:rsidP="00E60A47">
      <w:pPr>
        <w:jc w:val="center"/>
        <w:rPr>
          <w:rFonts w:ascii="Arial" w:hAnsi="Arial" w:cs="Arial"/>
          <w:b/>
          <w:i/>
          <w:lang w:val="hr-HR"/>
        </w:rPr>
      </w:pPr>
      <w:r w:rsidRPr="00C72587">
        <w:rPr>
          <w:rFonts w:ascii="Arial" w:hAnsi="Arial" w:cs="Arial"/>
          <w:b/>
          <w:i/>
          <w:lang w:val="hr-HR"/>
        </w:rPr>
        <w:t xml:space="preserve">Bilješke uz Financijske izvještaje za razdoblje od 1. siječnja do </w:t>
      </w:r>
      <w:r w:rsidR="0084145C" w:rsidRPr="00C72587">
        <w:rPr>
          <w:rFonts w:ascii="Arial" w:hAnsi="Arial" w:cs="Arial"/>
          <w:b/>
          <w:i/>
          <w:lang w:val="hr-HR"/>
        </w:rPr>
        <w:t>31. prosinca</w:t>
      </w:r>
      <w:r w:rsidRPr="00C72587">
        <w:rPr>
          <w:rFonts w:ascii="Arial" w:hAnsi="Arial" w:cs="Arial"/>
          <w:b/>
          <w:i/>
          <w:lang w:val="hr-HR"/>
        </w:rPr>
        <w:t xml:space="preserve"> 202</w:t>
      </w:r>
      <w:r w:rsidR="00276E28" w:rsidRPr="00C72587">
        <w:rPr>
          <w:rFonts w:ascii="Arial" w:hAnsi="Arial" w:cs="Arial"/>
          <w:b/>
          <w:i/>
          <w:lang w:val="hr-HR"/>
        </w:rPr>
        <w:t>3</w:t>
      </w:r>
      <w:r w:rsidRPr="00C72587">
        <w:rPr>
          <w:rFonts w:ascii="Arial" w:hAnsi="Arial" w:cs="Arial"/>
          <w:b/>
          <w:i/>
          <w:lang w:val="hr-HR"/>
        </w:rPr>
        <w:t>. godine</w:t>
      </w:r>
    </w:p>
    <w:p w14:paraId="23FBCAFE" w14:textId="77777777" w:rsidR="00B123C8" w:rsidRPr="00C72587" w:rsidRDefault="00B123C8" w:rsidP="00C72587">
      <w:pPr>
        <w:jc w:val="both"/>
        <w:rPr>
          <w:rFonts w:ascii="Arial" w:hAnsi="Arial" w:cs="Arial"/>
          <w:b/>
          <w:i/>
          <w:lang w:val="hr-HR"/>
        </w:rPr>
      </w:pPr>
    </w:p>
    <w:p w14:paraId="7307CC89" w14:textId="77777777" w:rsidR="00276E28" w:rsidRPr="00C72587" w:rsidRDefault="00276E2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Agencija za mobilnost i programe EU (u daljnjem tekstu Agencija) osnovana je Zakonom o Agenciji (NN 121/17 i 30/23) koji ujedno definira njezin opis poslova i nadležnosti. Osim Zakonom djelatnost Agencije utvrđena je Uredbama i Odlukama Europske komisije i Europskog parlamenta, Ugovorima s Europskom komisijom o provedbi programa, inicijativa, mreža i projekata te Odlukama Ministarstva znanosti i obrazovanja o prijenosu dodatnih nadležnosti i zadataka na Agenciju.</w:t>
      </w:r>
    </w:p>
    <w:p w14:paraId="0D3EA433" w14:textId="77777777" w:rsidR="00276E28" w:rsidRPr="00C72587" w:rsidRDefault="00276E28" w:rsidP="00C72587">
      <w:pPr>
        <w:jc w:val="both"/>
        <w:rPr>
          <w:rFonts w:ascii="Arial" w:hAnsi="Arial" w:cs="Arial"/>
          <w:u w:val="single"/>
          <w:lang w:val="hr-HR"/>
        </w:rPr>
      </w:pPr>
    </w:p>
    <w:p w14:paraId="372DF8E4" w14:textId="77777777" w:rsidR="00276E28" w:rsidRPr="00C72587" w:rsidRDefault="00276E28" w:rsidP="00C72587">
      <w:pPr>
        <w:jc w:val="both"/>
        <w:rPr>
          <w:rFonts w:ascii="Arial" w:hAnsi="Arial" w:cs="Arial"/>
          <w:u w:val="single"/>
          <w:lang w:val="hr-HR"/>
        </w:rPr>
      </w:pPr>
      <w:r w:rsidRPr="00C72587">
        <w:rPr>
          <w:rFonts w:ascii="Arial" w:hAnsi="Arial" w:cs="Arial"/>
          <w:u w:val="single"/>
          <w:lang w:val="hr-HR"/>
        </w:rPr>
        <w:t>Opis poslova i zadataka Agencije je sljedeći:</w:t>
      </w:r>
    </w:p>
    <w:p w14:paraId="79B21DCA" w14:textId="77777777" w:rsidR="00276E28" w:rsidRPr="00C72587" w:rsidRDefault="00276E28" w:rsidP="00C72587">
      <w:pPr>
        <w:jc w:val="both"/>
        <w:rPr>
          <w:rFonts w:ascii="Arial" w:hAnsi="Arial" w:cs="Arial"/>
          <w:u w:val="single"/>
          <w:lang w:val="hr-HR"/>
        </w:rPr>
      </w:pPr>
    </w:p>
    <w:p w14:paraId="412DBBDA" w14:textId="77777777" w:rsidR="00276E28" w:rsidRPr="00C72587" w:rsidRDefault="00276E2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- Provedba programa EU Erasmus+ </w:t>
      </w:r>
      <w:bookmarkStart w:id="0" w:name="_Hlk54168495"/>
      <w:r w:rsidRPr="00C72587">
        <w:rPr>
          <w:rFonts w:ascii="Arial" w:hAnsi="Arial" w:cs="Arial"/>
          <w:lang w:val="hr-HR"/>
        </w:rPr>
        <w:t xml:space="preserve">u području obrazovanja, osposobljavanja, mladih i sporta za razdoblje </w:t>
      </w:r>
      <w:bookmarkEnd w:id="0"/>
      <w:r w:rsidRPr="00C72587">
        <w:rPr>
          <w:rFonts w:ascii="Arial" w:hAnsi="Arial" w:cs="Arial"/>
          <w:lang w:val="hr-HR"/>
        </w:rPr>
        <w:t xml:space="preserve">2014.-2020. u svojstvu akreditirane Nacionalne agencije </w:t>
      </w:r>
    </w:p>
    <w:p w14:paraId="128C8293" w14:textId="77777777" w:rsidR="00276E28" w:rsidRPr="00C72587" w:rsidRDefault="00276E2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- Provedba programa EU Europske snage solidarnosti u području volontiranja i solidarnosti mladih za razdoblje 2018.-2020. u svojstvu akreditirane Nacionalne agencije</w:t>
      </w:r>
    </w:p>
    <w:p w14:paraId="3379F5DA" w14:textId="77777777" w:rsidR="00276E28" w:rsidRPr="00C72587" w:rsidRDefault="00276E2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- Provedba programa EU Erasmus+ u području obrazovanja, osposobljavanja, mladih i sporta za razdoblje 2021.-2027. u svojstvu akreditirane Nacionalne agencije</w:t>
      </w:r>
    </w:p>
    <w:p w14:paraId="68D98BBA" w14:textId="77777777" w:rsidR="00276E28" w:rsidRPr="00C72587" w:rsidRDefault="00276E2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- Provedba programa EU Europske snage solidarnosti u području volontiranja i solidarnosti mladih za razdoblje 2021.-2027. u svojstvu akreditirane Nacionalne agencije</w:t>
      </w:r>
    </w:p>
    <w:p w14:paraId="7CD24F1C" w14:textId="77777777" w:rsidR="00276E28" w:rsidRPr="00C72587" w:rsidRDefault="00276E2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- Provedba programa EU Obzor Europa u području znanosti za razdoblje 2021.-2027. u svojstvu nacionalne potporne strukture</w:t>
      </w:r>
    </w:p>
    <w:p w14:paraId="2B31DEA2" w14:textId="77777777" w:rsidR="00276E28" w:rsidRPr="00C72587" w:rsidRDefault="00276E28" w:rsidP="00C72587">
      <w:pPr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C72587">
        <w:rPr>
          <w:rFonts w:ascii="Arial" w:hAnsi="Arial" w:cs="Arial"/>
          <w:lang w:val="hr-HR"/>
        </w:rPr>
        <w:t xml:space="preserve">- Ostale EU mreže i inicijative, drugi međunarodni programi (EURAXESS, Euroguidance, Europass, eTwinning, Eurodesk, </w:t>
      </w:r>
      <w:r w:rsidRPr="00C72587">
        <w:rPr>
          <w:rFonts w:ascii="Arial" w:hAnsi="Arial" w:cs="Arial"/>
          <w:color w:val="000000"/>
          <w:shd w:val="clear" w:color="auto" w:fill="FFFFFF"/>
          <w:lang w:val="hr-HR"/>
        </w:rPr>
        <w:t>Eurydice, Radna skupina stručnjaka za VET, Study in Croatia, CEEPUS, Bilateralni program akademske mobilnosti itd.) te provedba EU projekata financiranih sredstvima Okvirnih programa EU za istraživanje i inovacije i dr.</w:t>
      </w:r>
    </w:p>
    <w:p w14:paraId="3336B143" w14:textId="77777777" w:rsidR="00276E28" w:rsidRPr="00C72587" w:rsidRDefault="00276E28" w:rsidP="00C72587">
      <w:pPr>
        <w:jc w:val="both"/>
        <w:rPr>
          <w:rStyle w:val="eop"/>
          <w:rFonts w:ascii="Arial" w:hAnsi="Arial" w:cs="Arial"/>
          <w:lang w:val="hr-HR"/>
        </w:rPr>
      </w:pPr>
      <w:r w:rsidRPr="00C72587">
        <w:rPr>
          <w:rFonts w:ascii="Arial" w:hAnsi="Arial" w:cs="Arial"/>
          <w:color w:val="000000"/>
          <w:shd w:val="clear" w:color="auto" w:fill="FFFFFF"/>
          <w:lang w:val="hr-HR"/>
        </w:rPr>
        <w:t xml:space="preserve">- </w:t>
      </w:r>
      <w:r w:rsidRPr="00C72587">
        <w:rPr>
          <w:rStyle w:val="normaltextrun"/>
          <w:rFonts w:ascii="Arial" w:hAnsi="Arial" w:cs="Arial"/>
          <w:lang w:val="hr-HR"/>
        </w:rPr>
        <w:t xml:space="preserve">U sklopu provedbe programa Erasmus+ za programsko razdoblje 2021.-2027., Europska komisija je u travnju 2022. Agenciju imenovala europskim SALTO resursnim centrom za uključivanje i raznolikost u području obrazovanja. </w:t>
      </w:r>
      <w:r w:rsidRPr="00C72587">
        <w:rPr>
          <w:rStyle w:val="normaltextrun"/>
          <w:rFonts w:ascii="Arial" w:hAnsi="Arial" w:cs="Arial"/>
          <w:lang w:val="hr-HR"/>
        </w:rPr>
        <w:lastRenderedPageBreak/>
        <w:t>Sukladno trenutnom imenovanju, rad SALTO resursnog centra trajat će do kraja 2027. godine uz perspektivu nastavka rada i u programskom razdoblju nakon 2027.</w:t>
      </w:r>
      <w:r w:rsidRPr="00C72587">
        <w:rPr>
          <w:rStyle w:val="eop"/>
          <w:rFonts w:ascii="Arial" w:hAnsi="Arial" w:cs="Arial"/>
          <w:lang w:val="hr-HR"/>
        </w:rPr>
        <w:t> </w:t>
      </w:r>
    </w:p>
    <w:p w14:paraId="543B2AF5" w14:textId="77777777" w:rsidR="00276E28" w:rsidRPr="00C72587" w:rsidRDefault="00276E28" w:rsidP="00C72587">
      <w:pPr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14:paraId="22F3B533" w14:textId="19F0BDCD" w:rsidR="00276E28" w:rsidRPr="00C72587" w:rsidRDefault="00276E2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Financijski izvještaji Agencije za 2023. godinu izrađeni su u skladu sa Zakonom o proračunu (NN 144/21), Pravilnikom o financijskom izvještavanju u proračunskom računovodstvu (NN 37/22) i Pravilnikom o proračunskom računovodstvu i računskom planu (NN 124/14, 115/15, 87/16, 3/18, 126/19</w:t>
      </w:r>
      <w:r w:rsidR="00C47232" w:rsidRPr="00C72587">
        <w:rPr>
          <w:rFonts w:ascii="Arial" w:hAnsi="Arial" w:cs="Arial"/>
          <w:lang w:val="hr-HR"/>
        </w:rPr>
        <w:t>,</w:t>
      </w:r>
      <w:r w:rsidRPr="00C72587">
        <w:rPr>
          <w:rFonts w:ascii="Arial" w:hAnsi="Arial" w:cs="Arial"/>
          <w:lang w:val="hr-HR"/>
        </w:rPr>
        <w:t xml:space="preserve"> 108/20</w:t>
      </w:r>
      <w:r w:rsidR="00C47232" w:rsidRPr="00C72587">
        <w:rPr>
          <w:rFonts w:ascii="Arial" w:hAnsi="Arial" w:cs="Arial"/>
          <w:lang w:val="hr-HR"/>
        </w:rPr>
        <w:t xml:space="preserve"> i 158/2023</w:t>
      </w:r>
      <w:r w:rsidRPr="00C72587">
        <w:rPr>
          <w:rFonts w:ascii="Arial" w:hAnsi="Arial" w:cs="Arial"/>
          <w:lang w:val="hr-HR"/>
        </w:rPr>
        <w:t>).</w:t>
      </w:r>
    </w:p>
    <w:p w14:paraId="5260DE41" w14:textId="77777777" w:rsidR="00FB60D5" w:rsidRPr="00C72587" w:rsidRDefault="00FB60D5" w:rsidP="00C72587">
      <w:pPr>
        <w:jc w:val="both"/>
        <w:rPr>
          <w:rFonts w:ascii="Arial" w:hAnsi="Arial" w:cs="Arial"/>
          <w:b/>
          <w:lang w:val="hr-HR"/>
        </w:rPr>
      </w:pPr>
    </w:p>
    <w:p w14:paraId="1C46B47B" w14:textId="77777777" w:rsidR="00407DB2" w:rsidRPr="00C72587" w:rsidRDefault="00407DB2" w:rsidP="00C72587">
      <w:pPr>
        <w:jc w:val="both"/>
        <w:rPr>
          <w:rFonts w:ascii="Arial" w:hAnsi="Arial" w:cs="Arial"/>
          <w:b/>
          <w:lang w:val="hr-HR"/>
        </w:rPr>
      </w:pPr>
    </w:p>
    <w:p w14:paraId="51E087D7" w14:textId="72A0FCD4" w:rsidR="00B123C8" w:rsidRPr="00C72587" w:rsidRDefault="00B123C8" w:rsidP="00C72587">
      <w:pPr>
        <w:jc w:val="center"/>
        <w:rPr>
          <w:rFonts w:ascii="Arial" w:hAnsi="Arial" w:cs="Arial"/>
          <w:b/>
          <w:lang w:val="hr-HR"/>
        </w:rPr>
      </w:pPr>
      <w:r w:rsidRPr="00C72587">
        <w:rPr>
          <w:rFonts w:ascii="Arial" w:hAnsi="Arial" w:cs="Arial"/>
          <w:b/>
          <w:lang w:val="hr-HR"/>
        </w:rPr>
        <w:t>Bilješk</w:t>
      </w:r>
      <w:r w:rsidR="00C72587">
        <w:rPr>
          <w:rFonts w:ascii="Arial" w:hAnsi="Arial" w:cs="Arial"/>
          <w:b/>
          <w:lang w:val="hr-HR"/>
        </w:rPr>
        <w:t>a</w:t>
      </w:r>
      <w:r w:rsidRPr="00C72587">
        <w:rPr>
          <w:rFonts w:ascii="Arial" w:hAnsi="Arial" w:cs="Arial"/>
          <w:b/>
          <w:lang w:val="hr-HR"/>
        </w:rPr>
        <w:t xml:space="preserve"> uz obrazac PR-RAS</w:t>
      </w:r>
    </w:p>
    <w:p w14:paraId="2DC821AB" w14:textId="77777777" w:rsidR="00B123C8" w:rsidRPr="00C72587" w:rsidRDefault="00B123C8" w:rsidP="00C72587">
      <w:pPr>
        <w:jc w:val="both"/>
        <w:rPr>
          <w:rFonts w:ascii="Arial" w:hAnsi="Arial" w:cs="Arial"/>
          <w:b/>
          <w:lang w:val="hr-HR"/>
        </w:rPr>
      </w:pPr>
    </w:p>
    <w:p w14:paraId="71C05970" w14:textId="77777777" w:rsidR="00B123C8" w:rsidRPr="00C72587" w:rsidRDefault="00B123C8" w:rsidP="00C72587">
      <w:pPr>
        <w:jc w:val="both"/>
        <w:rPr>
          <w:rFonts w:ascii="Arial" w:hAnsi="Arial" w:cs="Arial"/>
          <w:b/>
          <w:lang w:val="hr-HR"/>
        </w:rPr>
      </w:pPr>
      <w:r w:rsidRPr="00C72587">
        <w:rPr>
          <w:rFonts w:ascii="Arial" w:hAnsi="Arial" w:cs="Arial"/>
          <w:b/>
          <w:lang w:val="hr-HR"/>
        </w:rPr>
        <w:t xml:space="preserve">Prihodi poslovanja </w:t>
      </w:r>
    </w:p>
    <w:p w14:paraId="7B33FFFD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</w:p>
    <w:p w14:paraId="6D2E4E96" w14:textId="4485A1B2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Ukupni prihodi poslovanja Agencije za izvještajno razdoblje iznose </w:t>
      </w:r>
      <w:r w:rsidR="00276E28" w:rsidRPr="00C72587">
        <w:rPr>
          <w:rFonts w:ascii="Arial" w:hAnsi="Arial" w:cs="Arial"/>
          <w:b/>
          <w:bCs/>
          <w:lang w:val="hr-HR"/>
        </w:rPr>
        <w:t>49.111.194,71 €</w:t>
      </w:r>
      <w:r w:rsidRPr="00C72587">
        <w:rPr>
          <w:rFonts w:ascii="Arial" w:hAnsi="Arial" w:cs="Arial"/>
          <w:lang w:val="hr-HR"/>
        </w:rPr>
        <w:t xml:space="preserve">, najvećim dijelom je prihod iz EU za programsko razdoblje </w:t>
      </w:r>
      <w:r w:rsidR="00977232" w:rsidRPr="00C72587">
        <w:rPr>
          <w:rFonts w:ascii="Arial" w:hAnsi="Arial" w:cs="Arial"/>
          <w:lang w:val="hr-HR"/>
        </w:rPr>
        <w:t xml:space="preserve">2021.-2027. za programe </w:t>
      </w:r>
      <w:r w:rsidRPr="00C72587">
        <w:rPr>
          <w:rFonts w:ascii="Arial" w:hAnsi="Arial" w:cs="Arial"/>
          <w:lang w:val="hr-HR"/>
        </w:rPr>
        <w:t>Eras</w:t>
      </w:r>
      <w:r w:rsidR="00977232" w:rsidRPr="00C72587">
        <w:rPr>
          <w:rFonts w:ascii="Arial" w:hAnsi="Arial" w:cs="Arial"/>
          <w:lang w:val="hr-HR"/>
        </w:rPr>
        <w:t>mus</w:t>
      </w:r>
      <w:r w:rsidRPr="00C72587">
        <w:rPr>
          <w:rFonts w:ascii="Arial" w:hAnsi="Arial" w:cs="Arial"/>
          <w:lang w:val="hr-HR"/>
        </w:rPr>
        <w:t xml:space="preserve"> plus </w:t>
      </w:r>
      <w:r w:rsidR="00977232" w:rsidRPr="00C72587">
        <w:rPr>
          <w:rFonts w:ascii="Arial" w:hAnsi="Arial" w:cs="Arial"/>
          <w:lang w:val="hr-HR"/>
        </w:rPr>
        <w:t xml:space="preserve">i </w:t>
      </w:r>
      <w:r w:rsidRPr="00C72587">
        <w:rPr>
          <w:rFonts w:ascii="Arial" w:hAnsi="Arial" w:cs="Arial"/>
          <w:lang w:val="hr-HR"/>
        </w:rPr>
        <w:t>Europsk</w:t>
      </w:r>
      <w:r w:rsidR="00977232" w:rsidRPr="00C72587">
        <w:rPr>
          <w:rFonts w:ascii="Arial" w:hAnsi="Arial" w:cs="Arial"/>
          <w:lang w:val="hr-HR"/>
        </w:rPr>
        <w:t>e</w:t>
      </w:r>
      <w:r w:rsidRPr="00C72587">
        <w:rPr>
          <w:rFonts w:ascii="Arial" w:hAnsi="Arial" w:cs="Arial"/>
          <w:lang w:val="hr-HR"/>
        </w:rPr>
        <w:t xml:space="preserve"> snag</w:t>
      </w:r>
      <w:r w:rsidR="00977232" w:rsidRPr="00C72587">
        <w:rPr>
          <w:rFonts w:ascii="Arial" w:hAnsi="Arial" w:cs="Arial"/>
          <w:lang w:val="hr-HR"/>
        </w:rPr>
        <w:t>e</w:t>
      </w:r>
      <w:r w:rsidRPr="00C72587">
        <w:rPr>
          <w:rFonts w:ascii="Arial" w:hAnsi="Arial" w:cs="Arial"/>
          <w:lang w:val="hr-HR"/>
        </w:rPr>
        <w:t xml:space="preserve"> solidarnosti. Najvećim dijelom su ovo prihodi koji se priznaju u trenu</w:t>
      </w:r>
      <w:r w:rsidR="00977232" w:rsidRPr="00C72587">
        <w:rPr>
          <w:rFonts w:ascii="Arial" w:hAnsi="Arial" w:cs="Arial"/>
          <w:lang w:val="hr-HR"/>
        </w:rPr>
        <w:t>t</w:t>
      </w:r>
      <w:r w:rsidRPr="00C72587">
        <w:rPr>
          <w:rFonts w:ascii="Arial" w:hAnsi="Arial" w:cs="Arial"/>
          <w:lang w:val="hr-HR"/>
        </w:rPr>
        <w:t>ku isplate projektnih sredstava korisnicima što je različit pristup od evidentiranju EU sredstava sukladno promjeni Pravilnika o proračunskom računovodstvu i uputi Ministarstva financija KL</w:t>
      </w:r>
      <w:r w:rsidR="00977232" w:rsidRPr="00C72587">
        <w:rPr>
          <w:rFonts w:ascii="Arial" w:hAnsi="Arial" w:cs="Arial"/>
          <w:lang w:val="hr-HR"/>
        </w:rPr>
        <w:t>ASA</w:t>
      </w:r>
      <w:r w:rsidRPr="00C72587">
        <w:rPr>
          <w:rFonts w:ascii="Arial" w:hAnsi="Arial" w:cs="Arial"/>
          <w:lang w:val="hr-HR"/>
        </w:rPr>
        <w:t xml:space="preserve">: 400-02/20-01/29, URBROJ: 513-05-03-21-17 od 12. veljače 2021. </w:t>
      </w:r>
    </w:p>
    <w:p w14:paraId="6E5F5E4E" w14:textId="77777777" w:rsidR="00336C2E" w:rsidRPr="00C72587" w:rsidRDefault="00336C2E" w:rsidP="00C72587">
      <w:pPr>
        <w:jc w:val="both"/>
        <w:rPr>
          <w:rFonts w:ascii="Arial" w:hAnsi="Arial" w:cs="Arial"/>
          <w:lang w:val="hr-HR"/>
        </w:rPr>
      </w:pPr>
    </w:p>
    <w:p w14:paraId="62B3369C" w14:textId="10502811" w:rsidR="00530834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Prihodi iz nadležnog proračuna i od HZZO-a na temelju ugovornih obveza su prihodi iz izvora 11 (opći prihodi i primici) i prihodi iz izvora 12 (nacionalno sufinanciranje) iznose </w:t>
      </w:r>
      <w:r w:rsidR="00276E28" w:rsidRPr="00C72587">
        <w:rPr>
          <w:rFonts w:ascii="Arial" w:hAnsi="Arial" w:cs="Arial"/>
          <w:lang w:val="hr-HR"/>
        </w:rPr>
        <w:t>3.110.979,52 €</w:t>
      </w:r>
      <w:r w:rsidRPr="00C72587">
        <w:rPr>
          <w:rFonts w:ascii="Arial" w:hAnsi="Arial" w:cs="Arial"/>
          <w:lang w:val="hr-HR"/>
        </w:rPr>
        <w:t xml:space="preserve">. Nacionalno sufinanciranje odnosi se na Erasmus plus program, program Europske snage solidarnosti te inicijative i mreže koje su u nadležnosti Agencije. </w:t>
      </w:r>
    </w:p>
    <w:p w14:paraId="4E67103D" w14:textId="77777777" w:rsidR="00EB35E0" w:rsidRPr="00C72587" w:rsidRDefault="00EB35E0" w:rsidP="00C72587">
      <w:pPr>
        <w:jc w:val="both"/>
        <w:rPr>
          <w:rFonts w:ascii="Arial" w:hAnsi="Arial" w:cs="Arial"/>
          <w:lang w:val="hr-HR"/>
        </w:rPr>
      </w:pPr>
    </w:p>
    <w:p w14:paraId="59578593" w14:textId="79046E83" w:rsidR="007744E6" w:rsidRPr="00C72587" w:rsidRDefault="007929CA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Prihod od </w:t>
      </w:r>
      <w:r w:rsidR="00276E28" w:rsidRPr="00C72587">
        <w:rPr>
          <w:rFonts w:ascii="Arial" w:hAnsi="Arial" w:cs="Arial"/>
          <w:lang w:val="hr-HR"/>
        </w:rPr>
        <w:t>kamata na oročena sredstva i depozite po viđenju, ostvaren je isključivo na novčana sredstva transakcijskih računa otvorenih u poslovnoj banci.</w:t>
      </w:r>
    </w:p>
    <w:p w14:paraId="734A3F4A" w14:textId="77777777" w:rsidR="00530834" w:rsidRPr="00C72587" w:rsidRDefault="00530834" w:rsidP="00C72587">
      <w:pPr>
        <w:jc w:val="both"/>
        <w:rPr>
          <w:rFonts w:ascii="Arial" w:hAnsi="Arial" w:cs="Arial"/>
          <w:lang w:val="hr-HR"/>
        </w:rPr>
      </w:pPr>
    </w:p>
    <w:p w14:paraId="06F90BA3" w14:textId="625CEAA2" w:rsidR="009B120E" w:rsidRPr="00C72587" w:rsidRDefault="00276E28" w:rsidP="00C72587">
      <w:pPr>
        <w:jc w:val="both"/>
        <w:rPr>
          <w:rFonts w:ascii="Arial" w:eastAsia="Times New Roman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Kao i </w:t>
      </w:r>
      <w:r w:rsidR="009B120E" w:rsidRPr="00C72587">
        <w:rPr>
          <w:rFonts w:ascii="Arial" w:hAnsi="Arial" w:cs="Arial"/>
          <w:lang w:val="hr-HR"/>
        </w:rPr>
        <w:t>prethodn</w:t>
      </w:r>
      <w:r w:rsidRPr="00C72587">
        <w:rPr>
          <w:rFonts w:ascii="Arial" w:hAnsi="Arial" w:cs="Arial"/>
          <w:lang w:val="hr-HR"/>
        </w:rPr>
        <w:t>e</w:t>
      </w:r>
      <w:r w:rsidR="009B120E" w:rsidRPr="00C72587">
        <w:rPr>
          <w:rFonts w:ascii="Arial" w:hAnsi="Arial" w:cs="Arial"/>
          <w:lang w:val="hr-HR"/>
        </w:rPr>
        <w:t xml:space="preserve"> godin</w:t>
      </w:r>
      <w:r w:rsidRPr="00C72587">
        <w:rPr>
          <w:rFonts w:ascii="Arial" w:hAnsi="Arial" w:cs="Arial"/>
          <w:lang w:val="hr-HR"/>
        </w:rPr>
        <w:t>e</w:t>
      </w:r>
      <w:r w:rsidR="009B120E" w:rsidRPr="00C72587">
        <w:rPr>
          <w:rFonts w:ascii="Arial" w:hAnsi="Arial" w:cs="Arial"/>
          <w:lang w:val="hr-HR"/>
        </w:rPr>
        <w:t>, u 202</w:t>
      </w:r>
      <w:r w:rsidRPr="00C72587">
        <w:rPr>
          <w:rFonts w:ascii="Arial" w:hAnsi="Arial" w:cs="Arial"/>
          <w:lang w:val="hr-HR"/>
        </w:rPr>
        <w:t>3</w:t>
      </w:r>
      <w:r w:rsidR="009B120E" w:rsidRPr="00C72587">
        <w:rPr>
          <w:rFonts w:ascii="Arial" w:hAnsi="Arial" w:cs="Arial"/>
          <w:lang w:val="hr-HR"/>
        </w:rPr>
        <w:t>. imamo tekući prijenos između proračunskih korisnika istog proračuna, odnosno prihod koji smo primili od Središnjeg državnog ureda za demografiju i mlade</w:t>
      </w:r>
      <w:r w:rsidR="00530834" w:rsidRPr="00C72587">
        <w:rPr>
          <w:rFonts w:ascii="Arial" w:hAnsi="Arial" w:cs="Arial"/>
          <w:lang w:val="hr-HR"/>
        </w:rPr>
        <w:t xml:space="preserve"> na temelju </w:t>
      </w:r>
      <w:r w:rsidR="00530834" w:rsidRPr="00C72587">
        <w:rPr>
          <w:rFonts w:ascii="Arial" w:eastAsia="Times New Roman" w:hAnsi="Arial" w:cs="Arial"/>
          <w:lang w:val="hr-HR"/>
        </w:rPr>
        <w:t>Sporazum o partnerstvu u provedbi projekta „Time for Youth“, KLASA: 901- 01/22-01/1, URBROJ: 519-02-1/1-22-5 u iznosu od</w:t>
      </w:r>
      <w:r w:rsidRPr="00C72587">
        <w:rPr>
          <w:rFonts w:ascii="Arial" w:eastAsia="Times New Roman" w:hAnsi="Arial" w:cs="Arial"/>
          <w:lang w:val="hr-HR"/>
        </w:rPr>
        <w:t xml:space="preserve"> 45.862,70 € te je ovo ujedno i završna isplata za taj projekt.</w:t>
      </w:r>
    </w:p>
    <w:p w14:paraId="54D75A09" w14:textId="64A5EF4C" w:rsidR="00530834" w:rsidRPr="00C72587" w:rsidRDefault="00530834" w:rsidP="00C72587">
      <w:pPr>
        <w:jc w:val="both"/>
        <w:rPr>
          <w:rFonts w:ascii="Arial" w:hAnsi="Arial" w:cs="Arial"/>
          <w:lang w:val="hr-HR"/>
        </w:rPr>
      </w:pPr>
    </w:p>
    <w:p w14:paraId="4CDA2341" w14:textId="17E688E4" w:rsidR="00530834" w:rsidRPr="00C72587" w:rsidRDefault="00530834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N</w:t>
      </w:r>
      <w:r w:rsidR="007574A7" w:rsidRPr="00C72587">
        <w:rPr>
          <w:rFonts w:ascii="Arial" w:hAnsi="Arial" w:cs="Arial"/>
          <w:lang w:val="hr-HR"/>
        </w:rPr>
        <w:t>a</w:t>
      </w:r>
      <w:r w:rsidRPr="00C72587">
        <w:rPr>
          <w:rFonts w:ascii="Arial" w:hAnsi="Arial" w:cs="Arial"/>
          <w:lang w:val="hr-HR"/>
        </w:rPr>
        <w:t xml:space="preserve"> ostale prihode 638</w:t>
      </w:r>
      <w:r w:rsidR="00BE3353" w:rsidRPr="00C72587">
        <w:rPr>
          <w:rFonts w:ascii="Arial" w:hAnsi="Arial" w:cs="Arial"/>
          <w:lang w:val="hr-HR"/>
        </w:rPr>
        <w:t>1</w:t>
      </w:r>
      <w:r w:rsidRPr="00C72587">
        <w:rPr>
          <w:rFonts w:ascii="Arial" w:hAnsi="Arial" w:cs="Arial"/>
          <w:lang w:val="hr-HR"/>
        </w:rPr>
        <w:t xml:space="preserve"> knjižili smo prihod </w:t>
      </w:r>
      <w:r w:rsidR="00BE3353" w:rsidRPr="00C72587">
        <w:rPr>
          <w:rFonts w:ascii="Arial" w:hAnsi="Arial" w:cs="Arial"/>
          <w:lang w:val="hr-HR"/>
        </w:rPr>
        <w:t xml:space="preserve">parnične </w:t>
      </w:r>
      <w:r w:rsidRPr="00C72587">
        <w:rPr>
          <w:rFonts w:ascii="Arial" w:hAnsi="Arial" w:cs="Arial"/>
          <w:lang w:val="hr-HR"/>
        </w:rPr>
        <w:t xml:space="preserve">troškove sudskih </w:t>
      </w:r>
      <w:r w:rsidR="00276E28" w:rsidRPr="00C72587">
        <w:rPr>
          <w:rFonts w:ascii="Arial" w:hAnsi="Arial" w:cs="Arial"/>
          <w:lang w:val="hr-HR"/>
        </w:rPr>
        <w:t>postupaka</w:t>
      </w:r>
      <w:r w:rsidR="00BE3353" w:rsidRPr="00C72587">
        <w:rPr>
          <w:rFonts w:ascii="Arial" w:hAnsi="Arial" w:cs="Arial"/>
          <w:lang w:val="hr-HR"/>
        </w:rPr>
        <w:t xml:space="preserve"> za </w:t>
      </w:r>
      <w:r w:rsidRPr="00C72587">
        <w:rPr>
          <w:rFonts w:ascii="Arial" w:hAnsi="Arial" w:cs="Arial"/>
          <w:lang w:val="hr-HR"/>
        </w:rPr>
        <w:t>koje je Agencija platila</w:t>
      </w:r>
      <w:r w:rsidR="007574A7" w:rsidRPr="00C72587">
        <w:rPr>
          <w:rFonts w:ascii="Arial" w:hAnsi="Arial" w:cs="Arial"/>
          <w:lang w:val="hr-HR"/>
        </w:rPr>
        <w:t xml:space="preserve">, </w:t>
      </w:r>
      <w:r w:rsidR="00276E28" w:rsidRPr="00C72587">
        <w:rPr>
          <w:rFonts w:ascii="Arial" w:hAnsi="Arial" w:cs="Arial"/>
          <w:lang w:val="hr-HR"/>
        </w:rPr>
        <w:t xml:space="preserve">uplatu za </w:t>
      </w:r>
      <w:r w:rsidR="00676BF5" w:rsidRPr="00C72587">
        <w:rPr>
          <w:rFonts w:ascii="Arial" w:hAnsi="Arial" w:cs="Arial"/>
          <w:lang w:val="hr-HR"/>
        </w:rPr>
        <w:t>pretplaćene</w:t>
      </w:r>
      <w:r w:rsidR="00276E28" w:rsidRPr="00C72587">
        <w:rPr>
          <w:rFonts w:ascii="Arial" w:hAnsi="Arial" w:cs="Arial"/>
          <w:lang w:val="hr-HR"/>
        </w:rPr>
        <w:t xml:space="preserve"> račune iz prethodne godine, prihod od Hrvatskih autocesta za bonus prilikom nadoplate za ENC uređaj te refundacije za putne troškove</w:t>
      </w:r>
      <w:r w:rsidR="006E4D87" w:rsidRPr="00C72587">
        <w:rPr>
          <w:rFonts w:ascii="Arial" w:hAnsi="Arial" w:cs="Arial"/>
          <w:lang w:val="hr-HR"/>
        </w:rPr>
        <w:t>.</w:t>
      </w:r>
    </w:p>
    <w:p w14:paraId="55FE2FA6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</w:p>
    <w:p w14:paraId="7B7F0051" w14:textId="77777777" w:rsidR="00C72587" w:rsidRDefault="00C72587" w:rsidP="00C72587">
      <w:pPr>
        <w:jc w:val="both"/>
        <w:rPr>
          <w:rFonts w:ascii="Arial" w:hAnsi="Arial" w:cs="Arial"/>
          <w:b/>
          <w:lang w:val="hr-HR"/>
        </w:rPr>
      </w:pPr>
    </w:p>
    <w:p w14:paraId="65022DC2" w14:textId="77777777" w:rsidR="00C72587" w:rsidRDefault="00C72587" w:rsidP="00C72587">
      <w:pPr>
        <w:jc w:val="both"/>
        <w:rPr>
          <w:rFonts w:ascii="Arial" w:hAnsi="Arial" w:cs="Arial"/>
          <w:b/>
          <w:lang w:val="hr-HR"/>
        </w:rPr>
      </w:pPr>
    </w:p>
    <w:p w14:paraId="517D6108" w14:textId="523C0E6C" w:rsidR="00B123C8" w:rsidRPr="00C72587" w:rsidRDefault="00B123C8" w:rsidP="00C72587">
      <w:pPr>
        <w:jc w:val="both"/>
        <w:rPr>
          <w:rFonts w:ascii="Arial" w:hAnsi="Arial" w:cs="Arial"/>
          <w:b/>
          <w:lang w:val="hr-HR"/>
        </w:rPr>
      </w:pPr>
      <w:r w:rsidRPr="00C72587">
        <w:rPr>
          <w:rFonts w:ascii="Arial" w:hAnsi="Arial" w:cs="Arial"/>
          <w:b/>
          <w:lang w:val="hr-HR"/>
        </w:rPr>
        <w:lastRenderedPageBreak/>
        <w:t xml:space="preserve">Rashodi poslovanja </w:t>
      </w:r>
    </w:p>
    <w:p w14:paraId="52005C1A" w14:textId="77777777" w:rsidR="00B123C8" w:rsidRPr="00C72587" w:rsidRDefault="00B123C8" w:rsidP="00C72587">
      <w:pPr>
        <w:jc w:val="both"/>
        <w:rPr>
          <w:rFonts w:ascii="Arial" w:hAnsi="Arial" w:cs="Arial"/>
          <w:b/>
          <w:lang w:val="hr-HR"/>
        </w:rPr>
      </w:pPr>
    </w:p>
    <w:p w14:paraId="72DA365F" w14:textId="762A637C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Rashodi poslovanja</w:t>
      </w:r>
      <w:r w:rsidRPr="00C72587">
        <w:rPr>
          <w:rFonts w:ascii="Arial" w:hAnsi="Arial" w:cs="Arial"/>
          <w:b/>
          <w:bCs/>
          <w:lang w:val="hr-HR"/>
        </w:rPr>
        <w:t xml:space="preserve"> </w:t>
      </w:r>
      <w:r w:rsidRPr="00C72587">
        <w:rPr>
          <w:rFonts w:ascii="Arial" w:hAnsi="Arial" w:cs="Arial"/>
          <w:lang w:val="hr-HR"/>
        </w:rPr>
        <w:t xml:space="preserve">za izvještajno razdoblje iznose </w:t>
      </w:r>
      <w:r w:rsidR="004A7F4D" w:rsidRPr="00C72587">
        <w:rPr>
          <w:rFonts w:ascii="Arial" w:hAnsi="Arial" w:cs="Arial"/>
          <w:b/>
          <w:bCs/>
          <w:lang w:val="hr-HR"/>
        </w:rPr>
        <w:t>49.030.807,72 €</w:t>
      </w:r>
      <w:r w:rsidR="0084145C" w:rsidRPr="00C72587">
        <w:rPr>
          <w:rFonts w:ascii="Arial" w:hAnsi="Arial" w:cs="Arial"/>
          <w:b/>
          <w:bCs/>
          <w:lang w:val="hr-HR"/>
        </w:rPr>
        <w:t xml:space="preserve"> </w:t>
      </w:r>
      <w:r w:rsidRPr="00C72587">
        <w:rPr>
          <w:rFonts w:ascii="Arial" w:hAnsi="Arial" w:cs="Arial"/>
          <w:lang w:val="hr-HR"/>
        </w:rPr>
        <w:t xml:space="preserve">i </w:t>
      </w:r>
      <w:r w:rsidR="00563E56" w:rsidRPr="00C72587">
        <w:rPr>
          <w:rFonts w:ascii="Arial" w:hAnsi="Arial" w:cs="Arial"/>
          <w:lang w:val="hr-HR"/>
        </w:rPr>
        <w:t>povećani su</w:t>
      </w:r>
      <w:r w:rsidRPr="00C72587">
        <w:rPr>
          <w:rFonts w:ascii="Arial" w:hAnsi="Arial" w:cs="Arial"/>
          <w:lang w:val="hr-HR"/>
        </w:rPr>
        <w:t xml:space="preserve"> u odnosu na isto razdoblje prethodne godine. </w:t>
      </w:r>
      <w:r w:rsidR="00563E56" w:rsidRPr="00C72587">
        <w:rPr>
          <w:rFonts w:ascii="Arial" w:hAnsi="Arial" w:cs="Arial"/>
          <w:lang w:val="hr-HR"/>
        </w:rPr>
        <w:t>Porast</w:t>
      </w:r>
      <w:r w:rsidRPr="00C72587">
        <w:rPr>
          <w:rFonts w:ascii="Arial" w:hAnsi="Arial" w:cs="Arial"/>
          <w:lang w:val="hr-HR"/>
        </w:rPr>
        <w:t xml:space="preserve"> unutar skupine 3</w:t>
      </w:r>
      <w:r w:rsidR="00CE5DA1" w:rsidRPr="00C72587">
        <w:rPr>
          <w:rFonts w:ascii="Arial" w:hAnsi="Arial" w:cs="Arial"/>
          <w:lang w:val="hr-HR"/>
        </w:rPr>
        <w:t>1</w:t>
      </w:r>
      <w:r w:rsidR="00563E56" w:rsidRPr="00C72587">
        <w:rPr>
          <w:rFonts w:ascii="Arial" w:hAnsi="Arial" w:cs="Arial"/>
          <w:lang w:val="hr-HR"/>
        </w:rPr>
        <w:t xml:space="preserve"> rezultat</w:t>
      </w:r>
      <w:r w:rsidR="00CE5DA1" w:rsidRPr="00C72587">
        <w:rPr>
          <w:rFonts w:ascii="Arial" w:hAnsi="Arial" w:cs="Arial"/>
          <w:lang w:val="hr-HR"/>
        </w:rPr>
        <w:t xml:space="preserve"> je</w:t>
      </w:r>
      <w:r w:rsidR="00563E56" w:rsidRPr="00C72587">
        <w:rPr>
          <w:rFonts w:ascii="Arial" w:hAnsi="Arial" w:cs="Arial"/>
          <w:lang w:val="hr-HR"/>
        </w:rPr>
        <w:t xml:space="preserve"> rasta osnovice za isplatu plaće prema Temeljnom kolektivnom ugovoru u javnim službama</w:t>
      </w:r>
      <w:r w:rsidR="00862217" w:rsidRPr="00C72587">
        <w:rPr>
          <w:rFonts w:ascii="Arial" w:hAnsi="Arial" w:cs="Arial"/>
          <w:lang w:val="hr-HR"/>
        </w:rPr>
        <w:t xml:space="preserve">, isplata privremenog dodatka prema </w:t>
      </w:r>
      <w:r w:rsidR="009A6B83" w:rsidRPr="00C72587">
        <w:rPr>
          <w:rStyle w:val="ui-provider"/>
          <w:rFonts w:ascii="Arial" w:hAnsi="Arial" w:cs="Arial"/>
        </w:rPr>
        <w:t>Odluci Vlade Republike Hrvatske o isplati privremenog dodatka na plaću državnim službenicima i namještenicima te službenicima i namještenicima u javnim službama (NN 65/23)</w:t>
      </w:r>
      <w:r w:rsidR="004A7F4D" w:rsidRPr="00C72587">
        <w:rPr>
          <w:rFonts w:ascii="Arial" w:hAnsi="Arial" w:cs="Arial"/>
          <w:lang w:val="hr-HR"/>
        </w:rPr>
        <w:t xml:space="preserve"> i materijalnih prava (regres, božićnica u odnosu na 2022.)</w:t>
      </w:r>
      <w:r w:rsidR="00CE5DA1" w:rsidRPr="00C72587">
        <w:rPr>
          <w:rFonts w:ascii="Arial" w:hAnsi="Arial" w:cs="Arial"/>
          <w:lang w:val="hr-HR"/>
        </w:rPr>
        <w:t xml:space="preserve">. U skupini 32,  porast </w:t>
      </w:r>
      <w:r w:rsidR="00AB1792" w:rsidRPr="00C72587">
        <w:rPr>
          <w:rFonts w:ascii="Arial" w:hAnsi="Arial" w:cs="Arial"/>
          <w:lang w:val="hr-HR"/>
        </w:rPr>
        <w:t>čini</w:t>
      </w:r>
      <w:r w:rsidR="00CE5DA1" w:rsidRPr="00C72587">
        <w:rPr>
          <w:rFonts w:ascii="Arial" w:hAnsi="Arial" w:cs="Arial"/>
          <w:lang w:val="hr-HR"/>
        </w:rPr>
        <w:t xml:space="preserve"> stav</w:t>
      </w:r>
      <w:r w:rsidR="00AB1792" w:rsidRPr="00C72587">
        <w:rPr>
          <w:rFonts w:ascii="Arial" w:hAnsi="Arial" w:cs="Arial"/>
          <w:lang w:val="hr-HR"/>
        </w:rPr>
        <w:t>ka</w:t>
      </w:r>
      <w:r w:rsidR="00CE5DA1" w:rsidRPr="00C72587">
        <w:rPr>
          <w:rFonts w:ascii="Arial" w:hAnsi="Arial" w:cs="Arial"/>
          <w:lang w:val="hr-HR"/>
        </w:rPr>
        <w:t xml:space="preserve"> 3211 službena putovanja </w:t>
      </w:r>
      <w:r w:rsidR="004A7F4D" w:rsidRPr="00C72587">
        <w:rPr>
          <w:rFonts w:ascii="Arial" w:hAnsi="Arial" w:cs="Arial"/>
          <w:lang w:val="hr-HR"/>
        </w:rPr>
        <w:t xml:space="preserve">gdje kao razlog ističemo rast tržišnih cijena avio karata, smještajnih kapaciteta i drugih troškova vezanih uz službena putovanja. </w:t>
      </w:r>
    </w:p>
    <w:p w14:paraId="05A45117" w14:textId="77777777" w:rsidR="006610D9" w:rsidRPr="00C72587" w:rsidRDefault="006610D9" w:rsidP="00C72587">
      <w:pPr>
        <w:jc w:val="both"/>
        <w:rPr>
          <w:rFonts w:ascii="Arial" w:hAnsi="Arial" w:cs="Arial"/>
          <w:lang w:val="hr-HR"/>
        </w:rPr>
      </w:pPr>
    </w:p>
    <w:p w14:paraId="5974FF8B" w14:textId="585B0145" w:rsidR="000D756B" w:rsidRPr="00C72587" w:rsidRDefault="006610D9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Naknade</w:t>
      </w:r>
      <w:r w:rsidR="006E4D87" w:rsidRPr="00C72587">
        <w:rPr>
          <w:rFonts w:ascii="Arial" w:hAnsi="Arial" w:cs="Arial"/>
          <w:lang w:val="hr-HR"/>
        </w:rPr>
        <w:t xml:space="preserve"> </w:t>
      </w:r>
      <w:r w:rsidRPr="00C72587">
        <w:rPr>
          <w:rFonts w:ascii="Arial" w:hAnsi="Arial" w:cs="Arial"/>
          <w:lang w:val="hr-HR"/>
        </w:rPr>
        <w:t xml:space="preserve">troškova osobama izvan radnog odnosa povećane su </w:t>
      </w:r>
      <w:r w:rsidR="00CD2501" w:rsidRPr="00C72587">
        <w:rPr>
          <w:rFonts w:ascii="Arial" w:hAnsi="Arial" w:cs="Arial"/>
          <w:lang w:val="hr-HR"/>
        </w:rPr>
        <w:t>velikim</w:t>
      </w:r>
      <w:r w:rsidRPr="00C72587">
        <w:rPr>
          <w:rFonts w:ascii="Arial" w:hAnsi="Arial" w:cs="Arial"/>
          <w:lang w:val="hr-HR"/>
        </w:rPr>
        <w:t xml:space="preserve"> broj</w:t>
      </w:r>
      <w:r w:rsidR="004A7F4D" w:rsidRPr="00C72587">
        <w:rPr>
          <w:rFonts w:ascii="Arial" w:hAnsi="Arial" w:cs="Arial"/>
          <w:lang w:val="hr-HR"/>
        </w:rPr>
        <w:t>em</w:t>
      </w:r>
      <w:r w:rsidRPr="00C72587">
        <w:rPr>
          <w:rFonts w:ascii="Arial" w:hAnsi="Arial" w:cs="Arial"/>
          <w:lang w:val="hr-HR"/>
        </w:rPr>
        <w:t xml:space="preserve"> službenih putovanja vanjskih suradnika</w:t>
      </w:r>
      <w:r w:rsidR="004A7F4D" w:rsidRPr="00C72587">
        <w:rPr>
          <w:rFonts w:ascii="Arial" w:hAnsi="Arial" w:cs="Arial"/>
          <w:lang w:val="hr-HR"/>
        </w:rPr>
        <w:t>, a jedan od razloga su povećanje tržišnih cijena kao što je navedeno za putovanja djelatnika Agencije</w:t>
      </w:r>
      <w:r w:rsidRPr="00C72587">
        <w:rPr>
          <w:rFonts w:ascii="Arial" w:hAnsi="Arial" w:cs="Arial"/>
          <w:lang w:val="hr-HR"/>
        </w:rPr>
        <w:t>.</w:t>
      </w:r>
    </w:p>
    <w:p w14:paraId="78C73B55" w14:textId="0E3C2BC9" w:rsidR="002D6817" w:rsidRPr="00C72587" w:rsidRDefault="002D6817" w:rsidP="00C72587">
      <w:pPr>
        <w:jc w:val="both"/>
        <w:rPr>
          <w:rFonts w:ascii="Arial" w:hAnsi="Arial" w:cs="Arial"/>
          <w:lang w:val="hr-HR"/>
        </w:rPr>
      </w:pPr>
    </w:p>
    <w:p w14:paraId="72D6B62B" w14:textId="1ECB8140" w:rsidR="00B26634" w:rsidRPr="00C72587" w:rsidRDefault="002D6817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Financijski rashodi su </w:t>
      </w:r>
      <w:r w:rsidR="004A7F4D" w:rsidRPr="00C72587">
        <w:rPr>
          <w:rFonts w:ascii="Arial" w:hAnsi="Arial" w:cs="Arial"/>
          <w:lang w:val="hr-HR"/>
        </w:rPr>
        <w:t>znatno smanjeni u 2023.</w:t>
      </w:r>
      <w:r w:rsidR="00CF5630" w:rsidRPr="00C72587">
        <w:rPr>
          <w:rFonts w:ascii="Arial" w:hAnsi="Arial" w:cs="Arial"/>
          <w:lang w:val="hr-HR"/>
        </w:rPr>
        <w:t xml:space="preserve">, a razlog je što </w:t>
      </w:r>
      <w:r w:rsidR="004A7F4D" w:rsidRPr="00C72587">
        <w:rPr>
          <w:rFonts w:ascii="Arial" w:hAnsi="Arial" w:cs="Arial"/>
          <w:lang w:val="hr-HR"/>
        </w:rPr>
        <w:t xml:space="preserve">nismo </w:t>
      </w:r>
      <w:r w:rsidRPr="00C72587">
        <w:rPr>
          <w:rFonts w:ascii="Arial" w:hAnsi="Arial" w:cs="Arial"/>
          <w:lang w:val="hr-HR"/>
        </w:rPr>
        <w:t>plaća</w:t>
      </w:r>
      <w:r w:rsidR="00AC0B7A">
        <w:rPr>
          <w:rFonts w:ascii="Arial" w:hAnsi="Arial" w:cs="Arial"/>
          <w:lang w:val="hr-HR"/>
        </w:rPr>
        <w:t>li</w:t>
      </w:r>
      <w:r w:rsidRPr="00C72587">
        <w:rPr>
          <w:rFonts w:ascii="Arial" w:hAnsi="Arial" w:cs="Arial"/>
          <w:lang w:val="hr-HR"/>
        </w:rPr>
        <w:t xml:space="preserve"> po sudskim presudama</w:t>
      </w:r>
      <w:r w:rsidR="00223045" w:rsidRPr="00C72587">
        <w:rPr>
          <w:rFonts w:ascii="Arial" w:hAnsi="Arial" w:cs="Arial"/>
          <w:lang w:val="hr-HR"/>
        </w:rPr>
        <w:t xml:space="preserve"> </w:t>
      </w:r>
      <w:r w:rsidR="004A7F4D" w:rsidRPr="00C72587">
        <w:rPr>
          <w:rFonts w:ascii="Arial" w:hAnsi="Arial" w:cs="Arial"/>
          <w:lang w:val="hr-HR"/>
        </w:rPr>
        <w:t>kao što je to bio slučaj prethodne godine i negativne tečajne razlike su rezultat uobičajenih troškova u odnosu na 2022. kada smo imali troškove radi konverzije</w:t>
      </w:r>
      <w:r w:rsidRPr="00C72587">
        <w:rPr>
          <w:rFonts w:ascii="Arial" w:hAnsi="Arial" w:cs="Arial"/>
          <w:lang w:val="hr-HR"/>
        </w:rPr>
        <w:t>.</w:t>
      </w:r>
    </w:p>
    <w:p w14:paraId="4A352329" w14:textId="77777777" w:rsidR="00B26634" w:rsidRPr="00C72587" w:rsidRDefault="00B26634" w:rsidP="00C72587">
      <w:pPr>
        <w:jc w:val="both"/>
        <w:rPr>
          <w:rFonts w:ascii="Arial" w:hAnsi="Arial" w:cs="Arial"/>
          <w:lang w:val="hr-HR"/>
        </w:rPr>
      </w:pPr>
    </w:p>
    <w:p w14:paraId="32D25409" w14:textId="32177D78" w:rsidR="00B26634" w:rsidRPr="00C72587" w:rsidRDefault="00B26634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</w:rPr>
        <w:t xml:space="preserve">Subvencije, pomoći, naknade građanima i kućanstvima te tekuće donacije veće su u odnosu na 2022. s obzirom na veliki broj završnih isplata završenih projekata te predujmova sve većeg broja ugovorenih projekata korisnicima programa EU Erasmus+ i Europske snage solidarnosti. Provedba navedenih programa u svojstvu akreditirane Nacionalne agencije u području obrazovanja, osposobljavanja, mladih i sporta za razdoblja 2014.-2020. i 2021-2027. te u području volontiranja i solidarnosti mladih za razdoblja 2018.-2020. i 2021-2027.  </w:t>
      </w:r>
    </w:p>
    <w:p w14:paraId="7329B0AD" w14:textId="206F36D7" w:rsidR="00EC383B" w:rsidRPr="00C72587" w:rsidRDefault="00EC383B" w:rsidP="00C72587">
      <w:pPr>
        <w:jc w:val="both"/>
        <w:rPr>
          <w:rFonts w:ascii="Arial" w:hAnsi="Arial" w:cs="Arial"/>
          <w:lang w:val="hr-HR"/>
        </w:rPr>
      </w:pPr>
    </w:p>
    <w:p w14:paraId="4BF69748" w14:textId="6214E871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Naknade građanima i kućanstvima u novcu povećane </w:t>
      </w:r>
      <w:r w:rsidR="00D33361" w:rsidRPr="00C72587">
        <w:rPr>
          <w:rFonts w:ascii="Arial" w:hAnsi="Arial" w:cs="Arial"/>
          <w:lang w:val="hr-HR"/>
        </w:rPr>
        <w:t xml:space="preserve">su </w:t>
      </w:r>
      <w:r w:rsidRPr="00C72587">
        <w:rPr>
          <w:rFonts w:ascii="Arial" w:hAnsi="Arial" w:cs="Arial"/>
          <w:lang w:val="hr-HR"/>
        </w:rPr>
        <w:t xml:space="preserve">u odnosu na isto razdoblje prethodne godine. Razlog </w:t>
      </w:r>
      <w:r w:rsidR="004A7F4D" w:rsidRPr="00C72587">
        <w:rPr>
          <w:rFonts w:ascii="Arial" w:hAnsi="Arial" w:cs="Arial"/>
          <w:lang w:val="hr-HR"/>
        </w:rPr>
        <w:t>je povećanje tržišnih cijena prijevozničkih usluga i usluga smještajnih kapaciteta.</w:t>
      </w:r>
    </w:p>
    <w:p w14:paraId="69519102" w14:textId="77777777" w:rsidR="006610D9" w:rsidRPr="00C72587" w:rsidRDefault="006610D9" w:rsidP="00C72587">
      <w:pPr>
        <w:jc w:val="both"/>
        <w:rPr>
          <w:rFonts w:ascii="Arial" w:hAnsi="Arial" w:cs="Arial"/>
          <w:lang w:val="hr-HR"/>
        </w:rPr>
      </w:pPr>
    </w:p>
    <w:p w14:paraId="1079F632" w14:textId="49506614" w:rsidR="006610D9" w:rsidRPr="00C72587" w:rsidRDefault="006610D9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Višak prihoda i primitaka </w:t>
      </w:r>
      <w:r w:rsidR="00D24B74" w:rsidRPr="00C72587">
        <w:rPr>
          <w:rFonts w:ascii="Arial" w:hAnsi="Arial" w:cs="Arial"/>
          <w:lang w:val="hr-HR"/>
        </w:rPr>
        <w:t xml:space="preserve">raspoloživ </w:t>
      </w:r>
      <w:r w:rsidR="00D61187" w:rsidRPr="00C72587">
        <w:rPr>
          <w:rFonts w:ascii="Arial" w:hAnsi="Arial" w:cs="Arial"/>
          <w:lang w:val="hr-HR"/>
        </w:rPr>
        <w:t>u narednom razdoblju</w:t>
      </w:r>
      <w:r w:rsidRPr="00C72587">
        <w:rPr>
          <w:rFonts w:ascii="Arial" w:hAnsi="Arial" w:cs="Arial"/>
          <w:lang w:val="hr-HR"/>
        </w:rPr>
        <w:t xml:space="preserve"> iznosi </w:t>
      </w:r>
      <w:r w:rsidR="004A7F4D" w:rsidRPr="00C72587">
        <w:rPr>
          <w:rFonts w:ascii="Arial" w:hAnsi="Arial" w:cs="Arial"/>
          <w:lang w:val="hr-HR"/>
        </w:rPr>
        <w:t>2.514.759,62 €</w:t>
      </w:r>
      <w:r w:rsidRPr="00C72587">
        <w:rPr>
          <w:rFonts w:ascii="Arial" w:hAnsi="Arial" w:cs="Arial"/>
          <w:lang w:val="hr-HR"/>
        </w:rPr>
        <w:t xml:space="preserve"> za sve izvore financiranja.</w:t>
      </w:r>
    </w:p>
    <w:p w14:paraId="7F979BDA" w14:textId="77777777" w:rsidR="006610D9" w:rsidRPr="00C72587" w:rsidRDefault="006610D9" w:rsidP="00C72587">
      <w:pPr>
        <w:jc w:val="both"/>
        <w:rPr>
          <w:rFonts w:ascii="Arial" w:hAnsi="Arial" w:cs="Arial"/>
          <w:lang w:val="hr-HR"/>
        </w:rPr>
      </w:pPr>
    </w:p>
    <w:p w14:paraId="5650630B" w14:textId="37EE13C9" w:rsidR="006610D9" w:rsidRPr="00C72587" w:rsidRDefault="006610D9" w:rsidP="00C72587">
      <w:pPr>
        <w:jc w:val="both"/>
        <w:rPr>
          <w:rFonts w:ascii="Arial" w:hAnsi="Arial" w:cs="Arial"/>
          <w:lang w:val="pl-PL"/>
        </w:rPr>
      </w:pPr>
      <w:r w:rsidRPr="00C72587">
        <w:rPr>
          <w:rFonts w:ascii="Arial" w:hAnsi="Arial" w:cs="Arial"/>
          <w:lang w:val="pl-PL"/>
        </w:rPr>
        <w:t>U skladu s</w:t>
      </w:r>
      <w:r w:rsidR="005D2258" w:rsidRPr="00C72587">
        <w:rPr>
          <w:rFonts w:ascii="Arial" w:hAnsi="Arial" w:cs="Arial"/>
          <w:lang w:val="pl-PL"/>
        </w:rPr>
        <w:t xml:space="preserve"> Pravilnikom o proračunskom rač</w:t>
      </w:r>
      <w:r w:rsidR="00C47232" w:rsidRPr="00C72587">
        <w:rPr>
          <w:rFonts w:ascii="Arial" w:hAnsi="Arial" w:cs="Arial"/>
          <w:lang w:val="pl-PL"/>
        </w:rPr>
        <w:t xml:space="preserve">unovodstvu </w:t>
      </w:r>
      <w:r w:rsidRPr="00C72587">
        <w:rPr>
          <w:rFonts w:ascii="Arial" w:hAnsi="Arial" w:cs="Arial"/>
          <w:lang w:val="pl-PL"/>
        </w:rPr>
        <w:t>(</w:t>
      </w:r>
      <w:r w:rsidR="00C47232" w:rsidRPr="00C72587">
        <w:rPr>
          <w:rFonts w:ascii="Arial" w:hAnsi="Arial" w:cs="Arial"/>
          <w:lang w:val="pl-PL"/>
        </w:rPr>
        <w:t xml:space="preserve">NN 158/2023 </w:t>
      </w:r>
      <w:r w:rsidRPr="00C72587">
        <w:rPr>
          <w:rFonts w:ascii="Arial" w:hAnsi="Arial" w:cs="Arial"/>
          <w:lang w:val="pl-PL"/>
        </w:rPr>
        <w:t xml:space="preserve">člankom </w:t>
      </w:r>
      <w:r w:rsidR="005D2258" w:rsidRPr="00C72587">
        <w:rPr>
          <w:rFonts w:ascii="Arial" w:hAnsi="Arial" w:cs="Arial"/>
          <w:lang w:val="pl-PL"/>
        </w:rPr>
        <w:t>215</w:t>
      </w:r>
      <w:r w:rsidRPr="00C72587">
        <w:rPr>
          <w:rFonts w:ascii="Arial" w:hAnsi="Arial" w:cs="Arial"/>
          <w:lang w:val="pl-PL"/>
        </w:rPr>
        <w:t>.) izvršena je korekcija rezultata poslovanja, kojom je manjak prihoda nefinancijske imovine podmiren iz</w:t>
      </w:r>
      <w:r w:rsidR="00732FEC" w:rsidRPr="00C72587">
        <w:rPr>
          <w:rFonts w:ascii="Arial" w:hAnsi="Arial" w:cs="Arial"/>
          <w:lang w:val="pl-PL"/>
        </w:rPr>
        <w:t xml:space="preserve"> viška</w:t>
      </w:r>
      <w:r w:rsidRPr="00C72587">
        <w:rPr>
          <w:rFonts w:ascii="Arial" w:hAnsi="Arial" w:cs="Arial"/>
          <w:lang w:val="pl-PL"/>
        </w:rPr>
        <w:t xml:space="preserve"> prihoda poslovanja.</w:t>
      </w:r>
    </w:p>
    <w:p w14:paraId="55CA8B57" w14:textId="77777777" w:rsidR="006610D9" w:rsidRPr="00C72587" w:rsidRDefault="006610D9" w:rsidP="00C72587">
      <w:pPr>
        <w:jc w:val="both"/>
        <w:rPr>
          <w:rFonts w:ascii="Arial" w:hAnsi="Arial" w:cs="Arial"/>
          <w:lang w:val="hr-HR"/>
        </w:rPr>
      </w:pPr>
    </w:p>
    <w:p w14:paraId="4E168BCF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</w:p>
    <w:p w14:paraId="51FE5831" w14:textId="77777777" w:rsidR="00B123C8" w:rsidRDefault="00B123C8" w:rsidP="00C72587">
      <w:pPr>
        <w:rPr>
          <w:rFonts w:ascii="Arial" w:hAnsi="Arial" w:cs="Arial"/>
          <w:b/>
          <w:bCs/>
          <w:lang w:val="hr-HR"/>
        </w:rPr>
      </w:pPr>
      <w:r w:rsidRPr="00C72587">
        <w:rPr>
          <w:rFonts w:ascii="Arial" w:hAnsi="Arial" w:cs="Arial"/>
          <w:b/>
          <w:bCs/>
          <w:lang w:val="hr-HR"/>
        </w:rPr>
        <w:t>Obvezni analitički podaci</w:t>
      </w:r>
    </w:p>
    <w:p w14:paraId="3B12DFC6" w14:textId="77777777" w:rsidR="00C72587" w:rsidRPr="00C72587" w:rsidRDefault="00C72587" w:rsidP="00C72587">
      <w:pPr>
        <w:rPr>
          <w:rFonts w:ascii="Arial" w:hAnsi="Arial" w:cs="Arial"/>
          <w:b/>
          <w:bCs/>
          <w:lang w:val="hr-HR"/>
        </w:rPr>
      </w:pPr>
    </w:p>
    <w:p w14:paraId="4C30DF5C" w14:textId="0A26B81C" w:rsidR="00D114BC" w:rsidRPr="00C72587" w:rsidRDefault="00D114BC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Osim već navedenih razloga povećanja pojedinih troškova, ovdje ističemo i povećanje troškova obveznih zdravstvenih pregleda zaposlenika, a vezano je </w:t>
      </w:r>
      <w:r w:rsidRPr="00C72587">
        <w:rPr>
          <w:rFonts w:ascii="Arial" w:hAnsi="Arial" w:cs="Arial"/>
          <w:lang w:val="hr-HR"/>
        </w:rPr>
        <w:lastRenderedPageBreak/>
        <w:t>uz povoljnije materijalno prav</w:t>
      </w:r>
      <w:r w:rsidR="00977CCF">
        <w:rPr>
          <w:rFonts w:ascii="Arial" w:hAnsi="Arial" w:cs="Arial"/>
          <w:lang w:val="hr-HR"/>
        </w:rPr>
        <w:t>o</w:t>
      </w:r>
      <w:r w:rsidRPr="00C72587">
        <w:rPr>
          <w:rFonts w:ascii="Arial" w:hAnsi="Arial" w:cs="Arial"/>
          <w:lang w:val="hr-HR"/>
        </w:rPr>
        <w:t xml:space="preserve"> kod ugovaranja sistematskih pregleda zaposlenika.</w:t>
      </w:r>
    </w:p>
    <w:p w14:paraId="7961AFA9" w14:textId="77777777" w:rsidR="00C72587" w:rsidRDefault="00C72587" w:rsidP="00C72587">
      <w:pPr>
        <w:jc w:val="center"/>
        <w:rPr>
          <w:rFonts w:ascii="Arial" w:hAnsi="Arial" w:cs="Arial"/>
          <w:b/>
          <w:lang w:val="hr-HR"/>
        </w:rPr>
      </w:pPr>
    </w:p>
    <w:p w14:paraId="56E0691C" w14:textId="77777777" w:rsidR="00E60A47" w:rsidRDefault="00E60A47" w:rsidP="00C72587">
      <w:pPr>
        <w:jc w:val="center"/>
        <w:rPr>
          <w:rFonts w:ascii="Arial" w:hAnsi="Arial" w:cs="Arial"/>
          <w:b/>
          <w:lang w:val="hr-HR"/>
        </w:rPr>
      </w:pPr>
    </w:p>
    <w:p w14:paraId="0BB3DFB7" w14:textId="002642E1" w:rsidR="00CE6EC2" w:rsidRPr="00C72587" w:rsidRDefault="00CE6EC2" w:rsidP="00C72587">
      <w:pPr>
        <w:jc w:val="center"/>
        <w:rPr>
          <w:rFonts w:ascii="Arial" w:hAnsi="Arial" w:cs="Arial"/>
          <w:b/>
          <w:lang w:val="hr-HR"/>
        </w:rPr>
      </w:pPr>
      <w:r w:rsidRPr="00C72587">
        <w:rPr>
          <w:rFonts w:ascii="Arial" w:hAnsi="Arial" w:cs="Arial"/>
          <w:b/>
          <w:lang w:val="hr-HR"/>
        </w:rPr>
        <w:t>Bilješk</w:t>
      </w:r>
      <w:r w:rsidR="00C72587">
        <w:rPr>
          <w:rFonts w:ascii="Arial" w:hAnsi="Arial" w:cs="Arial"/>
          <w:b/>
          <w:lang w:val="hr-HR"/>
        </w:rPr>
        <w:t>a</w:t>
      </w:r>
      <w:r w:rsidRPr="00C72587">
        <w:rPr>
          <w:rFonts w:ascii="Arial" w:hAnsi="Arial" w:cs="Arial"/>
          <w:b/>
          <w:lang w:val="hr-HR"/>
        </w:rPr>
        <w:t xml:space="preserve"> uz obrazac Bilance</w:t>
      </w:r>
    </w:p>
    <w:p w14:paraId="0E9A2E80" w14:textId="77777777" w:rsidR="00CE6EC2" w:rsidRPr="00C72587" w:rsidRDefault="00CE6EC2" w:rsidP="00C72587">
      <w:pPr>
        <w:jc w:val="both"/>
        <w:rPr>
          <w:rFonts w:ascii="Arial" w:hAnsi="Arial" w:cs="Arial"/>
          <w:b/>
          <w:lang w:val="hr-HR"/>
        </w:rPr>
      </w:pPr>
    </w:p>
    <w:p w14:paraId="5E1CFA8B" w14:textId="090B5131" w:rsidR="00CE6EC2" w:rsidRPr="00C72587" w:rsidRDefault="0084145C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I</w:t>
      </w:r>
      <w:r w:rsidR="00CE6EC2" w:rsidRPr="00C72587">
        <w:rPr>
          <w:rFonts w:ascii="Arial" w:hAnsi="Arial" w:cs="Arial"/>
          <w:lang w:val="hr-HR"/>
        </w:rPr>
        <w:t>movina Agencije na dan 31.12.202</w:t>
      </w:r>
      <w:r w:rsidR="00D114BC" w:rsidRPr="00C72587">
        <w:rPr>
          <w:rFonts w:ascii="Arial" w:hAnsi="Arial" w:cs="Arial"/>
          <w:lang w:val="hr-HR"/>
        </w:rPr>
        <w:t>3</w:t>
      </w:r>
      <w:r w:rsidR="00CE6EC2" w:rsidRPr="00C72587">
        <w:rPr>
          <w:rFonts w:ascii="Arial" w:hAnsi="Arial" w:cs="Arial"/>
          <w:lang w:val="hr-HR"/>
        </w:rPr>
        <w:t xml:space="preserve">. iznosi </w:t>
      </w:r>
      <w:r w:rsidR="00D114BC" w:rsidRPr="00C72587">
        <w:rPr>
          <w:rFonts w:ascii="Arial" w:hAnsi="Arial" w:cs="Arial"/>
          <w:lang w:val="hr-HR"/>
        </w:rPr>
        <w:t>35.035.942,22 €</w:t>
      </w:r>
      <w:r w:rsidR="00CE6EC2" w:rsidRPr="00C72587">
        <w:rPr>
          <w:rFonts w:ascii="Arial" w:hAnsi="Arial" w:cs="Arial"/>
          <w:lang w:val="hr-HR"/>
        </w:rPr>
        <w:t xml:space="preserve">, a sastoji se od: </w:t>
      </w:r>
      <w:r w:rsidRPr="00C72587">
        <w:rPr>
          <w:rFonts w:ascii="Arial" w:hAnsi="Arial" w:cs="Arial"/>
          <w:lang w:val="hr-HR"/>
        </w:rPr>
        <w:t>n</w:t>
      </w:r>
      <w:r w:rsidR="00CE6EC2" w:rsidRPr="00C72587">
        <w:rPr>
          <w:rFonts w:ascii="Arial" w:hAnsi="Arial" w:cs="Arial"/>
          <w:lang w:val="hr-HR"/>
        </w:rPr>
        <w:t>efinancijsk</w:t>
      </w:r>
      <w:r w:rsidR="009B120E" w:rsidRPr="00C72587">
        <w:rPr>
          <w:rFonts w:ascii="Arial" w:hAnsi="Arial" w:cs="Arial"/>
          <w:lang w:val="hr-HR"/>
        </w:rPr>
        <w:t>e</w:t>
      </w:r>
      <w:r w:rsidR="00CE6EC2" w:rsidRPr="00C72587">
        <w:rPr>
          <w:rFonts w:ascii="Arial" w:hAnsi="Arial" w:cs="Arial"/>
          <w:lang w:val="hr-HR"/>
        </w:rPr>
        <w:t xml:space="preserve"> imovin</w:t>
      </w:r>
      <w:r w:rsidR="009B120E" w:rsidRPr="00C72587">
        <w:rPr>
          <w:rFonts w:ascii="Arial" w:hAnsi="Arial" w:cs="Arial"/>
          <w:lang w:val="hr-HR"/>
        </w:rPr>
        <w:t>e</w:t>
      </w:r>
      <w:r w:rsidRPr="00C72587">
        <w:rPr>
          <w:rFonts w:ascii="Arial" w:hAnsi="Arial" w:cs="Arial"/>
          <w:lang w:val="hr-HR"/>
        </w:rPr>
        <w:t>, fin</w:t>
      </w:r>
      <w:r w:rsidR="00CE6EC2" w:rsidRPr="00C72587">
        <w:rPr>
          <w:rFonts w:ascii="Arial" w:hAnsi="Arial" w:cs="Arial"/>
          <w:lang w:val="hr-HR"/>
        </w:rPr>
        <w:t>ancijsk</w:t>
      </w:r>
      <w:r w:rsidRPr="00C72587">
        <w:rPr>
          <w:rFonts w:ascii="Arial" w:hAnsi="Arial" w:cs="Arial"/>
          <w:lang w:val="hr-HR"/>
        </w:rPr>
        <w:t>e</w:t>
      </w:r>
      <w:r w:rsidR="00CE6EC2" w:rsidRPr="00C72587">
        <w:rPr>
          <w:rFonts w:ascii="Arial" w:hAnsi="Arial" w:cs="Arial"/>
          <w:lang w:val="hr-HR"/>
        </w:rPr>
        <w:t xml:space="preserve"> imovin</w:t>
      </w:r>
      <w:r w:rsidRPr="00C72587">
        <w:rPr>
          <w:rFonts w:ascii="Arial" w:hAnsi="Arial" w:cs="Arial"/>
          <w:lang w:val="hr-HR"/>
        </w:rPr>
        <w:t>e</w:t>
      </w:r>
      <w:r w:rsidR="00CE6EC2" w:rsidRPr="00C72587">
        <w:rPr>
          <w:rFonts w:ascii="Arial" w:hAnsi="Arial" w:cs="Arial"/>
          <w:lang w:val="hr-HR"/>
        </w:rPr>
        <w:t xml:space="preserve"> </w:t>
      </w:r>
      <w:r w:rsidRPr="00C72587">
        <w:rPr>
          <w:rFonts w:ascii="Arial" w:hAnsi="Arial" w:cs="Arial"/>
          <w:lang w:val="hr-HR"/>
        </w:rPr>
        <w:t xml:space="preserve">koja uključuje </w:t>
      </w:r>
      <w:r w:rsidR="00CE6EC2" w:rsidRPr="00C72587">
        <w:rPr>
          <w:rFonts w:ascii="Arial" w:hAnsi="Arial" w:cs="Arial"/>
          <w:lang w:val="hr-HR"/>
        </w:rPr>
        <w:t>rashodi budućeg razdoblja</w:t>
      </w:r>
      <w:r w:rsidR="009B120E" w:rsidRPr="00C72587">
        <w:rPr>
          <w:rFonts w:ascii="Arial" w:hAnsi="Arial" w:cs="Arial"/>
          <w:lang w:val="hr-HR"/>
        </w:rPr>
        <w:t xml:space="preserve"> </w:t>
      </w:r>
      <w:r w:rsidRPr="00C72587">
        <w:rPr>
          <w:rFonts w:ascii="Arial" w:hAnsi="Arial" w:cs="Arial"/>
          <w:lang w:val="hr-HR"/>
        </w:rPr>
        <w:t xml:space="preserve">koji se velikim dijelom odnose </w:t>
      </w:r>
      <w:r w:rsidR="00CE6EC2" w:rsidRPr="00C72587">
        <w:rPr>
          <w:rFonts w:ascii="Arial" w:hAnsi="Arial" w:cs="Arial"/>
          <w:lang w:val="hr-HR"/>
        </w:rPr>
        <w:t>na plaću, rashode za zaposlene, te ostale</w:t>
      </w:r>
      <w:r w:rsidR="009B120E" w:rsidRPr="00C72587">
        <w:rPr>
          <w:rFonts w:ascii="Arial" w:hAnsi="Arial" w:cs="Arial"/>
          <w:lang w:val="hr-HR"/>
        </w:rPr>
        <w:t xml:space="preserve"> buduće</w:t>
      </w:r>
      <w:r w:rsidRPr="00C72587">
        <w:rPr>
          <w:rFonts w:ascii="Arial" w:hAnsi="Arial" w:cs="Arial"/>
          <w:lang w:val="hr-HR"/>
        </w:rPr>
        <w:t xml:space="preserve"> </w:t>
      </w:r>
      <w:r w:rsidR="00CE6EC2" w:rsidRPr="00C72587">
        <w:rPr>
          <w:rFonts w:ascii="Arial" w:hAnsi="Arial" w:cs="Arial"/>
          <w:lang w:val="hr-HR"/>
        </w:rPr>
        <w:t>rashode poslovanja.</w:t>
      </w:r>
    </w:p>
    <w:p w14:paraId="18C47D6A" w14:textId="77777777" w:rsidR="00CE6EC2" w:rsidRPr="00C72587" w:rsidRDefault="00CE6EC2" w:rsidP="00C72587">
      <w:pPr>
        <w:jc w:val="both"/>
        <w:rPr>
          <w:rFonts w:ascii="Arial" w:hAnsi="Arial" w:cs="Arial"/>
          <w:lang w:val="hr-HR"/>
        </w:rPr>
      </w:pPr>
    </w:p>
    <w:p w14:paraId="450C19F5" w14:textId="24095CE2" w:rsidR="00CE6EC2" w:rsidRPr="00C72587" w:rsidRDefault="00CE6EC2" w:rsidP="00C72587">
      <w:pPr>
        <w:jc w:val="both"/>
        <w:rPr>
          <w:rFonts w:ascii="Arial" w:hAnsi="Arial" w:cs="Arial"/>
          <w:lang w:val="pl-PL"/>
        </w:rPr>
      </w:pPr>
      <w:r w:rsidRPr="00C72587">
        <w:rPr>
          <w:rFonts w:ascii="Arial" w:hAnsi="Arial" w:cs="Arial"/>
          <w:lang w:val="pl-PL"/>
        </w:rPr>
        <w:t>Obveze i vlastiti izvori na dan 31.12.202</w:t>
      </w:r>
      <w:r w:rsidR="0084145C" w:rsidRPr="00C72587">
        <w:rPr>
          <w:rFonts w:ascii="Arial" w:hAnsi="Arial" w:cs="Arial"/>
          <w:lang w:val="pl-PL"/>
        </w:rPr>
        <w:t>2</w:t>
      </w:r>
      <w:r w:rsidRPr="00C72587">
        <w:rPr>
          <w:rFonts w:ascii="Arial" w:hAnsi="Arial" w:cs="Arial"/>
          <w:lang w:val="pl-PL"/>
        </w:rPr>
        <w:t xml:space="preserve">. iznosi </w:t>
      </w:r>
      <w:r w:rsidR="00D114BC" w:rsidRPr="00C72587">
        <w:rPr>
          <w:rFonts w:ascii="Arial" w:hAnsi="Arial" w:cs="Arial"/>
          <w:lang w:val="pl-PL"/>
        </w:rPr>
        <w:t>35.035.942,22 €</w:t>
      </w:r>
      <w:r w:rsidRPr="00C72587">
        <w:rPr>
          <w:rFonts w:ascii="Arial" w:hAnsi="Arial" w:cs="Arial"/>
          <w:lang w:val="pl-PL"/>
        </w:rPr>
        <w:t xml:space="preserve">, a sastoji se od: </w:t>
      </w:r>
    </w:p>
    <w:p w14:paraId="020DE450" w14:textId="0A71C538" w:rsidR="00CE6EC2" w:rsidRPr="00C72587" w:rsidRDefault="0084145C" w:rsidP="00C72587">
      <w:pPr>
        <w:jc w:val="both"/>
        <w:rPr>
          <w:rFonts w:ascii="Arial" w:hAnsi="Arial" w:cs="Arial"/>
          <w:b/>
          <w:lang w:val="pl-PL"/>
        </w:rPr>
      </w:pPr>
      <w:r w:rsidRPr="00C72587">
        <w:rPr>
          <w:rFonts w:ascii="Arial" w:hAnsi="Arial" w:cs="Arial"/>
          <w:lang w:val="pl-PL"/>
        </w:rPr>
        <w:t>o</w:t>
      </w:r>
      <w:r w:rsidR="00CE6EC2" w:rsidRPr="00C72587">
        <w:rPr>
          <w:rFonts w:ascii="Arial" w:hAnsi="Arial" w:cs="Arial"/>
          <w:lang w:val="pl-PL"/>
        </w:rPr>
        <w:t>bvez</w:t>
      </w:r>
      <w:r w:rsidRPr="00C72587">
        <w:rPr>
          <w:rFonts w:ascii="Arial" w:hAnsi="Arial" w:cs="Arial"/>
          <w:lang w:val="pl-PL"/>
        </w:rPr>
        <w:t>a, v</w:t>
      </w:r>
      <w:r w:rsidR="00CE6EC2" w:rsidRPr="00C72587">
        <w:rPr>
          <w:rFonts w:ascii="Arial" w:hAnsi="Arial" w:cs="Arial"/>
          <w:lang w:val="pl-PL"/>
        </w:rPr>
        <w:t>lastiti</w:t>
      </w:r>
      <w:r w:rsidRPr="00C72587">
        <w:rPr>
          <w:rFonts w:ascii="Arial" w:hAnsi="Arial" w:cs="Arial"/>
          <w:lang w:val="pl-PL"/>
        </w:rPr>
        <w:t>h</w:t>
      </w:r>
      <w:r w:rsidR="00CE6EC2" w:rsidRPr="00C72587">
        <w:rPr>
          <w:rFonts w:ascii="Arial" w:hAnsi="Arial" w:cs="Arial"/>
          <w:lang w:val="pl-PL"/>
        </w:rPr>
        <w:t xml:space="preserve"> izvor</w:t>
      </w:r>
      <w:r w:rsidRPr="00C72587">
        <w:rPr>
          <w:rFonts w:ascii="Arial" w:hAnsi="Arial" w:cs="Arial"/>
          <w:lang w:val="pl-PL"/>
        </w:rPr>
        <w:t>a koji obuhvaćaju i i</w:t>
      </w:r>
      <w:r w:rsidR="00CE6EC2" w:rsidRPr="00C72587">
        <w:rPr>
          <w:rFonts w:ascii="Arial" w:hAnsi="Arial" w:cs="Arial"/>
          <w:lang w:val="pl-PL"/>
        </w:rPr>
        <w:t>zvanbilančan</w:t>
      </w:r>
      <w:r w:rsidRPr="00C72587">
        <w:rPr>
          <w:rFonts w:ascii="Arial" w:hAnsi="Arial" w:cs="Arial"/>
          <w:lang w:val="pl-PL"/>
        </w:rPr>
        <w:t>e</w:t>
      </w:r>
      <w:r w:rsidR="00CE6EC2" w:rsidRPr="00C72587">
        <w:rPr>
          <w:rFonts w:ascii="Arial" w:hAnsi="Arial" w:cs="Arial"/>
          <w:lang w:val="pl-PL"/>
        </w:rPr>
        <w:t xml:space="preserve"> zapis</w:t>
      </w:r>
      <w:r w:rsidRPr="00C72587">
        <w:rPr>
          <w:rFonts w:ascii="Arial" w:hAnsi="Arial" w:cs="Arial"/>
          <w:lang w:val="pl-PL"/>
        </w:rPr>
        <w:t>e</w:t>
      </w:r>
      <w:r w:rsidR="00CE6EC2" w:rsidRPr="00C72587">
        <w:rPr>
          <w:rFonts w:ascii="Arial" w:hAnsi="Arial" w:cs="Arial"/>
          <w:lang w:val="pl-PL"/>
        </w:rPr>
        <w:t xml:space="preserve"> </w:t>
      </w:r>
      <w:r w:rsidRPr="00C72587">
        <w:rPr>
          <w:rFonts w:ascii="Arial" w:hAnsi="Arial" w:cs="Arial"/>
          <w:lang w:val="pl-PL"/>
        </w:rPr>
        <w:t>koji se</w:t>
      </w:r>
      <w:r w:rsidR="00CE6EC2" w:rsidRPr="00C72587">
        <w:rPr>
          <w:rFonts w:ascii="Arial" w:hAnsi="Arial" w:cs="Arial"/>
          <w:lang w:val="pl-PL"/>
        </w:rPr>
        <w:t xml:space="preserve"> sastoji se od instrumenata osiguranja plaćanja</w:t>
      </w:r>
      <w:r w:rsidR="00D114BC" w:rsidRPr="00C72587">
        <w:rPr>
          <w:rFonts w:ascii="Arial" w:hAnsi="Arial" w:cs="Arial"/>
          <w:lang w:val="pl-PL"/>
        </w:rPr>
        <w:t>. Dani inst</w:t>
      </w:r>
      <w:r w:rsidR="00977CCF">
        <w:rPr>
          <w:rFonts w:ascii="Arial" w:hAnsi="Arial" w:cs="Arial"/>
          <w:lang w:val="pl-PL"/>
        </w:rPr>
        <w:t>r</w:t>
      </w:r>
      <w:r w:rsidR="00D114BC" w:rsidRPr="00C72587">
        <w:rPr>
          <w:rFonts w:ascii="Arial" w:hAnsi="Arial" w:cs="Arial"/>
          <w:lang w:val="pl-PL"/>
        </w:rPr>
        <w:t xml:space="preserve">umenti plaćanja iznose 37.871,79 €, a primljeni iznose 31.246,00 € </w:t>
      </w:r>
      <w:r w:rsidR="00CE6EC2" w:rsidRPr="00C72587">
        <w:rPr>
          <w:rFonts w:ascii="Arial" w:hAnsi="Arial" w:cs="Arial"/>
          <w:lang w:val="pl-PL"/>
        </w:rPr>
        <w:t>(</w:t>
      </w:r>
      <w:r w:rsidR="00D114BC" w:rsidRPr="00C72587">
        <w:rPr>
          <w:rFonts w:ascii="Arial" w:hAnsi="Arial" w:cs="Arial"/>
          <w:lang w:val="pl-PL"/>
        </w:rPr>
        <w:t xml:space="preserve">primljene </w:t>
      </w:r>
      <w:r w:rsidR="00CE6EC2" w:rsidRPr="00C72587">
        <w:rPr>
          <w:rFonts w:ascii="Arial" w:hAnsi="Arial" w:cs="Arial"/>
          <w:lang w:val="pl-PL"/>
        </w:rPr>
        <w:t>zadužnice i bankarske garancije za javnu nabavu</w:t>
      </w:r>
      <w:r w:rsidR="00D114BC" w:rsidRPr="00C72587">
        <w:rPr>
          <w:rFonts w:ascii="Arial" w:hAnsi="Arial" w:cs="Arial"/>
          <w:lang w:val="pl-PL"/>
        </w:rPr>
        <w:t xml:space="preserve">, </w:t>
      </w:r>
      <w:r w:rsidR="00CE6EC2" w:rsidRPr="00C72587">
        <w:rPr>
          <w:rFonts w:ascii="Arial" w:hAnsi="Arial" w:cs="Arial"/>
          <w:lang w:val="pl-PL"/>
        </w:rPr>
        <w:t>obveza na ugovore za projekte u okviru provedbe programa Erasmus plus, ESS, E-twinning</w:t>
      </w:r>
      <w:r w:rsidR="00D114BC" w:rsidRPr="00C72587">
        <w:rPr>
          <w:rFonts w:ascii="Arial" w:hAnsi="Arial" w:cs="Arial"/>
          <w:lang w:val="pl-PL"/>
        </w:rPr>
        <w:t>).</w:t>
      </w:r>
    </w:p>
    <w:p w14:paraId="43DB7792" w14:textId="77777777" w:rsidR="00FE4EDD" w:rsidRPr="00C72587" w:rsidRDefault="00FE4EDD" w:rsidP="00C72587">
      <w:pPr>
        <w:jc w:val="both"/>
        <w:rPr>
          <w:rFonts w:ascii="Arial" w:hAnsi="Arial" w:cs="Arial"/>
          <w:b/>
          <w:lang w:val="pl-PL"/>
        </w:rPr>
      </w:pPr>
    </w:p>
    <w:p w14:paraId="38148D92" w14:textId="40C7C92B" w:rsidR="00FE4EDD" w:rsidRPr="00C72587" w:rsidRDefault="00D114BC" w:rsidP="00C72587">
      <w:pPr>
        <w:jc w:val="both"/>
        <w:rPr>
          <w:rFonts w:ascii="Arial" w:hAnsi="Arial" w:cs="Arial"/>
          <w:bCs/>
          <w:lang w:val="pl-PL"/>
        </w:rPr>
      </w:pPr>
      <w:r w:rsidRPr="00C72587">
        <w:rPr>
          <w:rFonts w:ascii="Arial" w:hAnsi="Arial" w:cs="Arial"/>
          <w:bCs/>
          <w:lang w:val="pl-PL"/>
        </w:rPr>
        <w:t>Tuđa imovin</w:t>
      </w:r>
      <w:r w:rsidR="00977CCF">
        <w:rPr>
          <w:rFonts w:ascii="Arial" w:hAnsi="Arial" w:cs="Arial"/>
          <w:bCs/>
          <w:lang w:val="pl-PL"/>
        </w:rPr>
        <w:t>a</w:t>
      </w:r>
      <w:r w:rsidRPr="00C72587">
        <w:rPr>
          <w:rFonts w:ascii="Arial" w:hAnsi="Arial" w:cs="Arial"/>
          <w:bCs/>
          <w:lang w:val="pl-PL"/>
        </w:rPr>
        <w:t xml:space="preserve"> dobivena na korištenje vrijednosti je 17.876,87 €. </w:t>
      </w:r>
    </w:p>
    <w:p w14:paraId="6CFD9B32" w14:textId="77777777" w:rsidR="00F308D5" w:rsidRPr="00C72587" w:rsidRDefault="00F308D5" w:rsidP="00C72587">
      <w:pPr>
        <w:jc w:val="both"/>
        <w:rPr>
          <w:rFonts w:ascii="Arial" w:hAnsi="Arial" w:cs="Arial"/>
          <w:bCs/>
          <w:lang w:val="pl-PL"/>
        </w:rPr>
      </w:pPr>
    </w:p>
    <w:p w14:paraId="733BB8AE" w14:textId="0A24A34F" w:rsidR="00F308D5" w:rsidRPr="00C72587" w:rsidRDefault="00F308D5" w:rsidP="00C72587">
      <w:pPr>
        <w:jc w:val="both"/>
        <w:rPr>
          <w:rFonts w:ascii="Arial" w:hAnsi="Arial" w:cs="Arial"/>
          <w:b/>
          <w:bCs/>
          <w:lang w:val="pl-PL"/>
        </w:rPr>
      </w:pPr>
      <w:r w:rsidRPr="00C72587">
        <w:rPr>
          <w:rFonts w:ascii="Arial" w:hAnsi="Arial" w:cs="Arial"/>
          <w:bCs/>
          <w:lang w:val="pl-PL"/>
        </w:rPr>
        <w:t xml:space="preserve">U izvanbilančnim zapisima vodimo i potencijalne obveze po sudskim sporovima u kojima je Agencija tužitelj, te očekujemo naplatu potraživanja u iznosu </w:t>
      </w:r>
      <w:r w:rsidRPr="00C72587">
        <w:rPr>
          <w:rFonts w:ascii="Arial" w:hAnsi="Arial" w:cs="Arial"/>
          <w:b/>
          <w:bCs/>
          <w:lang w:val="pl-PL"/>
        </w:rPr>
        <w:t>15.728,33 €.</w:t>
      </w:r>
    </w:p>
    <w:p w14:paraId="6F1F08DB" w14:textId="6793045C" w:rsidR="00F308D5" w:rsidRPr="00C72587" w:rsidRDefault="00F308D5" w:rsidP="00C72587">
      <w:pPr>
        <w:jc w:val="both"/>
        <w:rPr>
          <w:rFonts w:ascii="Arial" w:hAnsi="Arial" w:cs="Arial"/>
          <w:bCs/>
          <w:lang w:val="pl-PL"/>
        </w:rPr>
      </w:pPr>
    </w:p>
    <w:p w14:paraId="564D45D1" w14:textId="77777777" w:rsidR="00BF5F34" w:rsidRPr="00C72587" w:rsidRDefault="00BF5F34" w:rsidP="00C72587">
      <w:pPr>
        <w:jc w:val="both"/>
        <w:rPr>
          <w:rFonts w:ascii="Arial" w:hAnsi="Arial" w:cs="Arial"/>
          <w:b/>
          <w:lang w:val="pl-PL"/>
        </w:rPr>
      </w:pPr>
    </w:p>
    <w:p w14:paraId="4190E54A" w14:textId="26E6B4D7" w:rsidR="00CE6EC2" w:rsidRPr="00C72587" w:rsidRDefault="00CE6EC2" w:rsidP="00C72587">
      <w:pPr>
        <w:jc w:val="center"/>
        <w:rPr>
          <w:rFonts w:ascii="Arial" w:hAnsi="Arial" w:cs="Arial"/>
          <w:b/>
          <w:lang w:val="pl-PL"/>
        </w:rPr>
      </w:pPr>
      <w:r w:rsidRPr="00C72587">
        <w:rPr>
          <w:rFonts w:ascii="Arial" w:hAnsi="Arial" w:cs="Arial"/>
          <w:b/>
          <w:lang w:val="pl-PL"/>
        </w:rPr>
        <w:t>Bilješk</w:t>
      </w:r>
      <w:r w:rsidR="00C72587">
        <w:rPr>
          <w:rFonts w:ascii="Arial" w:hAnsi="Arial" w:cs="Arial"/>
          <w:b/>
          <w:lang w:val="pl-PL"/>
        </w:rPr>
        <w:t>a</w:t>
      </w:r>
      <w:r w:rsidRPr="00C72587">
        <w:rPr>
          <w:rFonts w:ascii="Arial" w:hAnsi="Arial" w:cs="Arial"/>
          <w:b/>
          <w:lang w:val="pl-PL"/>
        </w:rPr>
        <w:t xml:space="preserve"> uz obrazac P-VRIO</w:t>
      </w:r>
    </w:p>
    <w:p w14:paraId="6EB91E7F" w14:textId="77777777" w:rsidR="00CE6EC2" w:rsidRPr="00C72587" w:rsidRDefault="00CE6EC2" w:rsidP="00C72587">
      <w:pPr>
        <w:jc w:val="both"/>
        <w:rPr>
          <w:rFonts w:ascii="Arial" w:hAnsi="Arial" w:cs="Arial"/>
          <w:b/>
          <w:lang w:val="pl-PL"/>
        </w:rPr>
      </w:pPr>
    </w:p>
    <w:p w14:paraId="4ED3ED70" w14:textId="7D04421C" w:rsidR="00CE6EC2" w:rsidRPr="00C72587" w:rsidRDefault="00CE6EC2" w:rsidP="00C72587">
      <w:pPr>
        <w:jc w:val="both"/>
        <w:rPr>
          <w:rFonts w:ascii="Arial" w:hAnsi="Arial" w:cs="Arial"/>
          <w:lang w:val="pl-PL"/>
        </w:rPr>
      </w:pPr>
      <w:r w:rsidRPr="00C72587">
        <w:rPr>
          <w:rFonts w:ascii="Arial" w:hAnsi="Arial" w:cs="Arial"/>
          <w:lang w:val="pl-PL"/>
        </w:rPr>
        <w:t xml:space="preserve">Izvještaj o promjeni u vrijednosti i obujmu imovine i obveza za izvještajno razdoblje </w:t>
      </w:r>
      <w:r w:rsidR="00D114BC" w:rsidRPr="00C72587">
        <w:rPr>
          <w:rFonts w:ascii="Arial" w:hAnsi="Arial" w:cs="Arial"/>
          <w:lang w:val="pl-PL"/>
        </w:rPr>
        <w:t>ima i</w:t>
      </w:r>
      <w:r w:rsidR="0084145C" w:rsidRPr="00C72587">
        <w:rPr>
          <w:rFonts w:ascii="Arial" w:hAnsi="Arial" w:cs="Arial"/>
          <w:lang w:val="pl-PL"/>
        </w:rPr>
        <w:t xml:space="preserve">skazano smanjenje </w:t>
      </w:r>
      <w:r w:rsidR="00D114BC" w:rsidRPr="00C72587">
        <w:rPr>
          <w:rFonts w:ascii="Arial" w:hAnsi="Arial" w:cs="Arial"/>
          <w:lang w:val="pl-PL"/>
        </w:rPr>
        <w:t xml:space="preserve">nefinancijske </w:t>
      </w:r>
      <w:r w:rsidR="0084145C" w:rsidRPr="00C72587">
        <w:rPr>
          <w:rFonts w:ascii="Arial" w:hAnsi="Arial" w:cs="Arial"/>
          <w:lang w:val="pl-PL"/>
        </w:rPr>
        <w:t>imovine</w:t>
      </w:r>
      <w:r w:rsidR="00D114BC" w:rsidRPr="00C72587">
        <w:rPr>
          <w:rFonts w:ascii="Arial" w:hAnsi="Arial" w:cs="Arial"/>
          <w:lang w:val="pl-PL"/>
        </w:rPr>
        <w:t xml:space="preserve"> u iznosu 312,62 €</w:t>
      </w:r>
      <w:r w:rsidR="0064526A" w:rsidRPr="00C72587">
        <w:rPr>
          <w:rFonts w:ascii="Arial" w:hAnsi="Arial" w:cs="Arial"/>
          <w:lang w:val="pl-PL"/>
        </w:rPr>
        <w:t>,</w:t>
      </w:r>
      <w:r w:rsidR="0084145C" w:rsidRPr="00C72587">
        <w:rPr>
          <w:rFonts w:ascii="Arial" w:hAnsi="Arial" w:cs="Arial"/>
          <w:lang w:val="pl-PL"/>
        </w:rPr>
        <w:t xml:space="preserve"> a razlog je imovina koja </w:t>
      </w:r>
      <w:r w:rsidR="00D114BC" w:rsidRPr="00C72587">
        <w:rPr>
          <w:rFonts w:ascii="Arial" w:hAnsi="Arial" w:cs="Arial"/>
          <w:lang w:val="pl-PL"/>
        </w:rPr>
        <w:t xml:space="preserve">nije više bila upotrebljiva te je zbrinuta </w:t>
      </w:r>
      <w:r w:rsidR="009D29D3" w:rsidRPr="00C72587">
        <w:rPr>
          <w:rFonts w:ascii="Arial" w:hAnsi="Arial" w:cs="Arial"/>
          <w:lang w:val="pl-PL"/>
        </w:rPr>
        <w:t>u skladu s pravilima</w:t>
      </w:r>
      <w:r w:rsidRPr="00C72587">
        <w:rPr>
          <w:rFonts w:ascii="Arial" w:hAnsi="Arial" w:cs="Arial"/>
          <w:lang w:val="pl-PL"/>
        </w:rPr>
        <w:t>.</w:t>
      </w:r>
    </w:p>
    <w:p w14:paraId="37E9A607" w14:textId="19933702" w:rsidR="00CE6EC2" w:rsidRPr="00C72587" w:rsidRDefault="00CE6EC2" w:rsidP="00C72587">
      <w:pPr>
        <w:jc w:val="both"/>
        <w:rPr>
          <w:rFonts w:ascii="Arial" w:hAnsi="Arial" w:cs="Arial"/>
          <w:lang w:val="pl-PL"/>
        </w:rPr>
      </w:pPr>
    </w:p>
    <w:p w14:paraId="474C8311" w14:textId="77777777" w:rsidR="003807DD" w:rsidRPr="00C72587" w:rsidRDefault="003807DD" w:rsidP="00C72587">
      <w:pPr>
        <w:jc w:val="both"/>
        <w:rPr>
          <w:rFonts w:ascii="Arial" w:hAnsi="Arial" w:cs="Arial"/>
          <w:b/>
          <w:lang w:val="pl-PL"/>
        </w:rPr>
      </w:pPr>
    </w:p>
    <w:p w14:paraId="2AD381FE" w14:textId="51354397" w:rsidR="00CE6EC2" w:rsidRPr="00C72587" w:rsidRDefault="00CE6EC2" w:rsidP="00C72587">
      <w:pPr>
        <w:jc w:val="center"/>
        <w:rPr>
          <w:rFonts w:ascii="Arial" w:hAnsi="Arial" w:cs="Arial"/>
          <w:b/>
          <w:lang w:val="pl-PL"/>
        </w:rPr>
      </w:pPr>
      <w:r w:rsidRPr="00C72587">
        <w:rPr>
          <w:rFonts w:ascii="Arial" w:hAnsi="Arial" w:cs="Arial"/>
          <w:b/>
          <w:lang w:val="pl-PL"/>
        </w:rPr>
        <w:t>Bilješk</w:t>
      </w:r>
      <w:r w:rsidR="00C72587">
        <w:rPr>
          <w:rFonts w:ascii="Arial" w:hAnsi="Arial" w:cs="Arial"/>
          <w:b/>
          <w:lang w:val="pl-PL"/>
        </w:rPr>
        <w:t>a</w:t>
      </w:r>
      <w:r w:rsidRPr="00C72587">
        <w:rPr>
          <w:rFonts w:ascii="Arial" w:hAnsi="Arial" w:cs="Arial"/>
          <w:b/>
          <w:lang w:val="pl-PL"/>
        </w:rPr>
        <w:t xml:space="preserve"> uz obrazac RAS – funkcijski</w:t>
      </w:r>
    </w:p>
    <w:p w14:paraId="0F2EC89D" w14:textId="77777777" w:rsidR="00CE6EC2" w:rsidRPr="00C72587" w:rsidRDefault="00CE6EC2" w:rsidP="00C72587">
      <w:pPr>
        <w:jc w:val="both"/>
        <w:rPr>
          <w:rFonts w:ascii="Arial" w:hAnsi="Arial" w:cs="Arial"/>
          <w:lang w:val="pl-PL"/>
        </w:rPr>
      </w:pPr>
    </w:p>
    <w:p w14:paraId="43FB8141" w14:textId="3BC69D59" w:rsidR="00B123C8" w:rsidRPr="00C72587" w:rsidRDefault="00CE6EC2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pl-PL"/>
        </w:rPr>
        <w:t>Izvještaj o rashodima prema funkcijskoj klasifikaciji za izvještajno razdoblje odnosi se na sve programe Agencije pod funkcijom 09</w:t>
      </w:r>
      <w:r w:rsidR="009B120E" w:rsidRPr="00C72587">
        <w:rPr>
          <w:rFonts w:ascii="Arial" w:hAnsi="Arial" w:cs="Arial"/>
          <w:lang w:val="pl-PL"/>
        </w:rPr>
        <w:t>7: i</w:t>
      </w:r>
      <w:r w:rsidRPr="00C72587">
        <w:rPr>
          <w:rFonts w:ascii="Arial" w:hAnsi="Arial" w:cs="Arial"/>
          <w:lang w:val="pl-PL"/>
        </w:rPr>
        <w:t xml:space="preserve">straživanje i razvoj obrazovanja, a iznosi </w:t>
      </w:r>
      <w:r w:rsidR="00D114BC" w:rsidRPr="00C72587">
        <w:rPr>
          <w:rFonts w:ascii="Arial" w:hAnsi="Arial" w:cs="Arial"/>
          <w:lang w:val="hr-HR"/>
        </w:rPr>
        <w:t>49.157.350,35 €.</w:t>
      </w:r>
    </w:p>
    <w:p w14:paraId="4A40AA53" w14:textId="77777777" w:rsidR="00586C3F" w:rsidRPr="00C72587" w:rsidRDefault="00586C3F" w:rsidP="00C72587">
      <w:pPr>
        <w:jc w:val="both"/>
        <w:rPr>
          <w:rFonts w:ascii="Arial" w:hAnsi="Arial" w:cs="Arial"/>
          <w:lang w:val="hr-HR"/>
        </w:rPr>
      </w:pPr>
    </w:p>
    <w:p w14:paraId="25BD5981" w14:textId="77777777" w:rsidR="00AE7657" w:rsidRPr="00C72587" w:rsidRDefault="00AE7657" w:rsidP="00C72587">
      <w:pPr>
        <w:jc w:val="both"/>
        <w:rPr>
          <w:rFonts w:ascii="Arial" w:hAnsi="Arial" w:cs="Arial"/>
          <w:lang w:val="hr-HR"/>
        </w:rPr>
      </w:pPr>
    </w:p>
    <w:p w14:paraId="788BF98F" w14:textId="4F975281" w:rsidR="00B123C8" w:rsidRPr="00C72587" w:rsidRDefault="00B123C8" w:rsidP="00C72587">
      <w:pPr>
        <w:jc w:val="center"/>
        <w:rPr>
          <w:rFonts w:ascii="Arial" w:hAnsi="Arial" w:cs="Arial"/>
          <w:b/>
          <w:lang w:val="hr-HR"/>
        </w:rPr>
      </w:pPr>
      <w:r w:rsidRPr="00C72587">
        <w:rPr>
          <w:rFonts w:ascii="Arial" w:hAnsi="Arial" w:cs="Arial"/>
          <w:b/>
          <w:lang w:val="hr-HR"/>
        </w:rPr>
        <w:t>Bilješk</w:t>
      </w:r>
      <w:r w:rsidR="00C72587">
        <w:rPr>
          <w:rFonts w:ascii="Arial" w:hAnsi="Arial" w:cs="Arial"/>
          <w:b/>
          <w:lang w:val="hr-HR"/>
        </w:rPr>
        <w:t>a</w:t>
      </w:r>
      <w:r w:rsidRPr="00C72587">
        <w:rPr>
          <w:rFonts w:ascii="Arial" w:hAnsi="Arial" w:cs="Arial"/>
          <w:b/>
          <w:lang w:val="hr-HR"/>
        </w:rPr>
        <w:t xml:space="preserve"> uz Izvještaj o obvezama</w:t>
      </w:r>
    </w:p>
    <w:p w14:paraId="2CF1CB2D" w14:textId="77777777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</w:p>
    <w:p w14:paraId="530C4A4C" w14:textId="7C12582F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Stanje obveza na dan 31.12.202</w:t>
      </w:r>
      <w:r w:rsidR="00D114BC" w:rsidRPr="00C72587">
        <w:rPr>
          <w:rFonts w:ascii="Arial" w:hAnsi="Arial" w:cs="Arial"/>
          <w:lang w:val="hr-HR"/>
        </w:rPr>
        <w:t>2</w:t>
      </w:r>
      <w:r w:rsidRPr="00C72587">
        <w:rPr>
          <w:rFonts w:ascii="Arial" w:hAnsi="Arial" w:cs="Arial"/>
          <w:lang w:val="hr-HR"/>
        </w:rPr>
        <w:t>. istovjetno je početnom stanju na da</w:t>
      </w:r>
      <w:r w:rsidR="00977CCF">
        <w:rPr>
          <w:rFonts w:ascii="Arial" w:hAnsi="Arial" w:cs="Arial"/>
          <w:lang w:val="hr-HR"/>
        </w:rPr>
        <w:t xml:space="preserve">n </w:t>
      </w:r>
      <w:r w:rsidRPr="00C72587">
        <w:rPr>
          <w:rFonts w:ascii="Arial" w:hAnsi="Arial" w:cs="Arial"/>
          <w:lang w:val="hr-HR"/>
        </w:rPr>
        <w:t>1.1.202</w:t>
      </w:r>
      <w:r w:rsidR="00D114BC" w:rsidRPr="00C72587">
        <w:rPr>
          <w:rFonts w:ascii="Arial" w:hAnsi="Arial" w:cs="Arial"/>
          <w:lang w:val="hr-HR"/>
        </w:rPr>
        <w:t>3</w:t>
      </w:r>
      <w:r w:rsidRPr="00C72587">
        <w:rPr>
          <w:rFonts w:ascii="Arial" w:hAnsi="Arial" w:cs="Arial"/>
          <w:lang w:val="hr-HR"/>
        </w:rPr>
        <w:t xml:space="preserve">. i iznosi </w:t>
      </w:r>
      <w:r w:rsidR="00D114BC" w:rsidRPr="00C72587">
        <w:rPr>
          <w:rFonts w:ascii="Arial" w:hAnsi="Arial" w:cs="Arial"/>
          <w:lang w:val="hr-HR"/>
        </w:rPr>
        <w:t>32.824.825,54 €.</w:t>
      </w:r>
    </w:p>
    <w:p w14:paraId="198B345B" w14:textId="0B7AB5E6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 xml:space="preserve">Povećanje obveza u izvještajnom razdoblju uključuje i međusobne obveze subjekata općeg proračuna </w:t>
      </w:r>
      <w:r w:rsidR="002D6785" w:rsidRPr="00C72587">
        <w:rPr>
          <w:rFonts w:ascii="Arial" w:hAnsi="Arial" w:cs="Arial"/>
          <w:lang w:val="hr-HR"/>
        </w:rPr>
        <w:t xml:space="preserve">u iznosu </w:t>
      </w:r>
      <w:r w:rsidR="00572BD0" w:rsidRPr="00C72587">
        <w:rPr>
          <w:rFonts w:ascii="Arial" w:hAnsi="Arial" w:cs="Arial"/>
          <w:lang w:val="hr-HR"/>
        </w:rPr>
        <w:t xml:space="preserve">od </w:t>
      </w:r>
      <w:r w:rsidR="00F308D5" w:rsidRPr="00C72587">
        <w:rPr>
          <w:rFonts w:ascii="Arial" w:hAnsi="Arial" w:cs="Arial"/>
          <w:lang w:val="hr-HR"/>
        </w:rPr>
        <w:t>169.594,70 €</w:t>
      </w:r>
      <w:r w:rsidR="005268E8" w:rsidRPr="00C72587">
        <w:rPr>
          <w:rFonts w:ascii="Arial" w:hAnsi="Arial" w:cs="Arial"/>
          <w:lang w:val="hr-HR"/>
        </w:rPr>
        <w:t xml:space="preserve"> i najvećim dijelom čine ih </w:t>
      </w:r>
      <w:r w:rsidR="005268E8" w:rsidRPr="00C72587">
        <w:rPr>
          <w:rFonts w:ascii="Arial" w:hAnsi="Arial" w:cs="Arial"/>
          <w:lang w:val="hr-HR"/>
        </w:rPr>
        <w:lastRenderedPageBreak/>
        <w:t>obveze za troškove koje imamo prema proračunskom korisniku u čijem smo prostoru</w:t>
      </w:r>
      <w:r w:rsidRPr="00C72587">
        <w:rPr>
          <w:rFonts w:ascii="Arial" w:hAnsi="Arial" w:cs="Arial"/>
          <w:lang w:val="hr-HR"/>
        </w:rPr>
        <w:t>.</w:t>
      </w:r>
    </w:p>
    <w:p w14:paraId="7ED28CA9" w14:textId="7EBF27A6" w:rsidR="00B123C8" w:rsidRPr="00C72587" w:rsidRDefault="00B123C8" w:rsidP="00C72587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Podmirene obveze u izvještajnom razdoblju uključujući i međusobne obveze subjekata općeg proračuna</w:t>
      </w:r>
      <w:r w:rsidR="00477CD2" w:rsidRPr="00C72587">
        <w:rPr>
          <w:rFonts w:ascii="Arial" w:hAnsi="Arial" w:cs="Arial"/>
          <w:lang w:val="hr-HR"/>
        </w:rPr>
        <w:t>, a s</w:t>
      </w:r>
      <w:r w:rsidRPr="00C72587">
        <w:rPr>
          <w:rFonts w:ascii="Arial" w:hAnsi="Arial" w:cs="Arial"/>
          <w:lang w:val="hr-HR"/>
        </w:rPr>
        <w:t xml:space="preserve">tanje obveza na kraju izvještajnog razdoblja iznosi </w:t>
      </w:r>
      <w:r w:rsidR="00F308D5" w:rsidRPr="00C72587">
        <w:rPr>
          <w:rFonts w:ascii="Arial" w:hAnsi="Arial" w:cs="Arial"/>
          <w:lang w:val="hr-HR"/>
        </w:rPr>
        <w:t>32.176.932,69</w:t>
      </w:r>
      <w:r w:rsidR="0019391A" w:rsidRPr="00C72587">
        <w:rPr>
          <w:rFonts w:ascii="Arial" w:hAnsi="Arial" w:cs="Arial"/>
          <w:lang w:val="hr-HR"/>
        </w:rPr>
        <w:t xml:space="preserve"> €</w:t>
      </w:r>
      <w:r w:rsidR="00CD03B1" w:rsidRPr="00C72587">
        <w:rPr>
          <w:rFonts w:ascii="Arial" w:hAnsi="Arial" w:cs="Arial"/>
          <w:lang w:val="hr-HR"/>
        </w:rPr>
        <w:t xml:space="preserve">, od toga 6.773,83 € su dospjele obveze s prekoračenje </w:t>
      </w:r>
      <w:r w:rsidR="009D0681" w:rsidRPr="00C72587">
        <w:rPr>
          <w:rFonts w:ascii="Arial" w:hAnsi="Arial" w:cs="Arial"/>
          <w:lang w:val="hr-HR"/>
        </w:rPr>
        <w:t>u kategoriji od 1 do</w:t>
      </w:r>
      <w:r w:rsidR="00CD03B1" w:rsidRPr="00C72587">
        <w:rPr>
          <w:rFonts w:ascii="Arial" w:hAnsi="Arial" w:cs="Arial"/>
          <w:lang w:val="hr-HR"/>
        </w:rPr>
        <w:t xml:space="preserve"> 60 dana</w:t>
      </w:r>
      <w:r w:rsidR="00A96871" w:rsidRPr="00C72587">
        <w:rPr>
          <w:rFonts w:ascii="Arial" w:hAnsi="Arial" w:cs="Arial"/>
          <w:lang w:val="hr-HR"/>
        </w:rPr>
        <w:t xml:space="preserve"> </w:t>
      </w:r>
      <w:r w:rsidR="009D0681" w:rsidRPr="00C72587">
        <w:rPr>
          <w:rFonts w:ascii="Arial" w:hAnsi="Arial" w:cs="Arial"/>
          <w:lang w:val="hr-HR"/>
        </w:rPr>
        <w:t>i to su obveze</w:t>
      </w:r>
      <w:r w:rsidR="00732FEC" w:rsidRPr="00C72587">
        <w:rPr>
          <w:rFonts w:ascii="Arial" w:hAnsi="Arial" w:cs="Arial"/>
          <w:lang w:val="hr-HR"/>
        </w:rPr>
        <w:t xml:space="preserve"> na računu 232 iz računskog plana</w:t>
      </w:r>
      <w:r w:rsidR="009D0681" w:rsidRPr="00C72587">
        <w:rPr>
          <w:rFonts w:ascii="Arial" w:hAnsi="Arial" w:cs="Arial"/>
          <w:lang w:val="hr-HR"/>
        </w:rPr>
        <w:t xml:space="preserve"> </w:t>
      </w:r>
      <w:r w:rsidR="00A96871" w:rsidRPr="00C72587">
        <w:rPr>
          <w:rFonts w:ascii="Arial" w:hAnsi="Arial" w:cs="Arial"/>
          <w:lang w:val="hr-HR"/>
        </w:rPr>
        <w:t>prema dobavljačima</w:t>
      </w:r>
      <w:r w:rsidR="00595DEA" w:rsidRPr="00C72587">
        <w:rPr>
          <w:rFonts w:ascii="Arial" w:hAnsi="Arial" w:cs="Arial"/>
          <w:lang w:val="hr-HR"/>
        </w:rPr>
        <w:t xml:space="preserve"> </w:t>
      </w:r>
      <w:r w:rsidR="00A96871" w:rsidRPr="00C72587">
        <w:rPr>
          <w:rFonts w:ascii="Arial" w:hAnsi="Arial" w:cs="Arial"/>
          <w:lang w:val="hr-HR"/>
        </w:rPr>
        <w:t xml:space="preserve">koji imaju dospijeće plaćanja manje od 30 dana i </w:t>
      </w:r>
      <w:r w:rsidR="009D0681" w:rsidRPr="00C72587">
        <w:rPr>
          <w:rFonts w:ascii="Arial" w:hAnsi="Arial" w:cs="Arial"/>
          <w:lang w:val="hr-HR"/>
        </w:rPr>
        <w:t xml:space="preserve">iznos od </w:t>
      </w:r>
      <w:r w:rsidR="00A96871" w:rsidRPr="00C72587">
        <w:rPr>
          <w:rFonts w:ascii="Arial" w:hAnsi="Arial" w:cs="Arial"/>
          <w:lang w:val="hr-HR"/>
        </w:rPr>
        <w:t>32.170.158,86 €</w:t>
      </w:r>
      <w:r w:rsidR="002D6785" w:rsidRPr="00C72587">
        <w:rPr>
          <w:rFonts w:ascii="Arial" w:hAnsi="Arial" w:cs="Arial"/>
          <w:lang w:val="hr-HR"/>
        </w:rPr>
        <w:t xml:space="preserve"> su</w:t>
      </w:r>
      <w:r w:rsidRPr="00C72587">
        <w:rPr>
          <w:rFonts w:ascii="Arial" w:hAnsi="Arial" w:cs="Arial"/>
          <w:lang w:val="hr-HR"/>
        </w:rPr>
        <w:t xml:space="preserve"> nedospjele obveze </w:t>
      </w:r>
      <w:r w:rsidR="002D6785" w:rsidRPr="00C72587">
        <w:rPr>
          <w:rFonts w:ascii="Arial" w:hAnsi="Arial" w:cs="Arial"/>
          <w:lang w:val="hr-HR"/>
        </w:rPr>
        <w:t>koje s</w:t>
      </w:r>
      <w:r w:rsidRPr="00C72587">
        <w:rPr>
          <w:rFonts w:ascii="Arial" w:hAnsi="Arial" w:cs="Arial"/>
          <w:lang w:val="hr-HR"/>
        </w:rPr>
        <w:t>e najvećim dijelom odnos</w:t>
      </w:r>
      <w:r w:rsidR="002D6785" w:rsidRPr="00C72587">
        <w:rPr>
          <w:rFonts w:ascii="Arial" w:hAnsi="Arial" w:cs="Arial"/>
          <w:lang w:val="hr-HR"/>
        </w:rPr>
        <w:t>e</w:t>
      </w:r>
      <w:r w:rsidRPr="00C72587">
        <w:rPr>
          <w:rFonts w:ascii="Arial" w:hAnsi="Arial" w:cs="Arial"/>
          <w:lang w:val="hr-HR"/>
        </w:rPr>
        <w:t xml:space="preserve"> na Erasmus plus program i program Europskih snaga solidarnosti (konto 23957).</w:t>
      </w:r>
    </w:p>
    <w:p w14:paraId="720FAB7A" w14:textId="77777777" w:rsidR="0081660C" w:rsidRPr="00C72587" w:rsidRDefault="0081660C" w:rsidP="00C72587">
      <w:pPr>
        <w:jc w:val="both"/>
        <w:rPr>
          <w:rFonts w:ascii="Arial" w:hAnsi="Arial" w:cs="Arial"/>
          <w:lang w:val="hr-HR"/>
        </w:rPr>
      </w:pPr>
    </w:p>
    <w:p w14:paraId="4B5BF839" w14:textId="77777777" w:rsidR="0081660C" w:rsidRPr="00C72587" w:rsidRDefault="0081660C" w:rsidP="00C72587">
      <w:pPr>
        <w:jc w:val="both"/>
        <w:rPr>
          <w:rFonts w:ascii="Arial" w:hAnsi="Arial" w:cs="Arial"/>
          <w:lang w:val="hr-HR"/>
        </w:rPr>
      </w:pPr>
    </w:p>
    <w:p w14:paraId="53D94285" w14:textId="77777777" w:rsidR="000A5AE8" w:rsidRPr="00C72587" w:rsidRDefault="000A5AE8" w:rsidP="00C72587">
      <w:pPr>
        <w:jc w:val="right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RAVNATELJICA</w:t>
      </w:r>
    </w:p>
    <w:p w14:paraId="50D9DA0F" w14:textId="77777777" w:rsidR="000A5AE8" w:rsidRPr="00C72587" w:rsidRDefault="000A5AE8" w:rsidP="00C72587">
      <w:pPr>
        <w:jc w:val="both"/>
        <w:rPr>
          <w:rFonts w:ascii="Arial" w:hAnsi="Arial" w:cs="Arial"/>
          <w:lang w:val="hr-HR"/>
        </w:rPr>
      </w:pPr>
    </w:p>
    <w:p w14:paraId="508F40F3" w14:textId="77777777" w:rsidR="000A5AE8" w:rsidRPr="00C72587" w:rsidRDefault="000A5AE8" w:rsidP="00C72587">
      <w:pPr>
        <w:jc w:val="both"/>
        <w:rPr>
          <w:rFonts w:ascii="Arial" w:hAnsi="Arial" w:cs="Arial"/>
          <w:lang w:val="hr-HR"/>
        </w:rPr>
      </w:pPr>
    </w:p>
    <w:p w14:paraId="22BB7967" w14:textId="77777777" w:rsidR="000A5AE8" w:rsidRDefault="000A5AE8" w:rsidP="00C72587">
      <w:pPr>
        <w:jc w:val="right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mr.sc. Antonija Gladović</w:t>
      </w:r>
    </w:p>
    <w:p w14:paraId="56A48DEA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4D9D3903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75FBABCB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6E333ABB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2E01A739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0F75DE1D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415B5B91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3E670996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7B57160B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24EBD56B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3D92C8DB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3141131D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6107F381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18CF9ADD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718ED315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5A25BF25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56BCF209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3572E2F1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27AB2ED8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0892259E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18C0CF88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1B9695CA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5C5CCD01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5A36F837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0524611A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2D673437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3433156A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13E709D6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0C286F69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65208E5C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4E019B78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1F9765DB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2E625F4D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7AA43310" w14:textId="77777777" w:rsidR="00C72587" w:rsidRDefault="00C72587" w:rsidP="00C72587">
      <w:pPr>
        <w:jc w:val="right"/>
        <w:rPr>
          <w:rFonts w:ascii="Arial" w:hAnsi="Arial" w:cs="Arial"/>
          <w:lang w:val="hr-HR"/>
        </w:rPr>
      </w:pPr>
    </w:p>
    <w:p w14:paraId="4AC9BF49" w14:textId="77777777" w:rsidR="00C72587" w:rsidRDefault="00C72587" w:rsidP="009E1C98">
      <w:pPr>
        <w:ind w:hanging="426"/>
        <w:jc w:val="right"/>
        <w:rPr>
          <w:rFonts w:ascii="Arial" w:hAnsi="Arial" w:cs="Arial"/>
          <w:lang w:val="hr-HR"/>
        </w:rPr>
      </w:pPr>
    </w:p>
    <w:p w14:paraId="4D59313D" w14:textId="77777777" w:rsidR="009E1C98" w:rsidRPr="00C72587" w:rsidRDefault="009E1C98" w:rsidP="009E1C98">
      <w:pPr>
        <w:ind w:left="-426" w:hanging="426"/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Prilog I. Dani i primljeni instrumenata osiguranja</w:t>
      </w:r>
    </w:p>
    <w:p w14:paraId="71C2C8AC" w14:textId="77777777" w:rsidR="009E1C98" w:rsidRPr="00C72587" w:rsidRDefault="009E1C98" w:rsidP="009E1C98">
      <w:pPr>
        <w:ind w:left="-426" w:hanging="426"/>
        <w:jc w:val="both"/>
        <w:rPr>
          <w:rFonts w:ascii="Arial" w:hAnsi="Arial" w:cs="Arial"/>
          <w:lang w:val="hr-HR"/>
        </w:rPr>
      </w:pPr>
    </w:p>
    <w:p w14:paraId="589974AE" w14:textId="77777777" w:rsidR="009E1C98" w:rsidRDefault="009E1C98" w:rsidP="009E1C98">
      <w:pPr>
        <w:ind w:left="-426" w:hanging="426"/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Tablica danih instrumenata osiguranja</w:t>
      </w:r>
    </w:p>
    <w:p w14:paraId="121E1D57" w14:textId="77777777" w:rsidR="009E1C98" w:rsidRDefault="009E1C98" w:rsidP="009E1C98">
      <w:pPr>
        <w:ind w:left="-426"/>
        <w:jc w:val="both"/>
        <w:rPr>
          <w:rFonts w:ascii="Arial" w:hAnsi="Arial" w:cs="Arial"/>
          <w:lang w:val="hr-HR"/>
        </w:rPr>
      </w:pPr>
    </w:p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1237"/>
        <w:gridCol w:w="1174"/>
        <w:gridCol w:w="1275"/>
        <w:gridCol w:w="1147"/>
        <w:gridCol w:w="1067"/>
        <w:gridCol w:w="1331"/>
        <w:gridCol w:w="1217"/>
        <w:gridCol w:w="1307"/>
        <w:gridCol w:w="1227"/>
      </w:tblGrid>
      <w:tr w:rsidR="00887C2B" w:rsidRPr="002F230C" w14:paraId="1A09F262" w14:textId="77777777" w:rsidTr="00887C2B">
        <w:trPr>
          <w:trHeight w:val="76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8585C30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PRIMATELJ JAMSTVA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0D55F26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IZNOS DANOG JAMSTVA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4B01A1B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DATUM JAMSTVA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2E66DD4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JAVNI BILJEŽNIK KOJI JE IZVRŠIO OVJERU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D1026C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BROJ OVJERE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FAC3BB7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DATUM OVJERE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D7BC7E7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POSTUPAK ZA KOJI JE IZDANA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0B0BC76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SVRHA U KOJU JE IZDANA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73AE903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DATUM POVRATKA JAMSTVA</w:t>
            </w:r>
          </w:p>
        </w:tc>
      </w:tr>
      <w:tr w:rsidR="00887C2B" w:rsidRPr="002F230C" w14:paraId="2DE0857E" w14:textId="77777777" w:rsidTr="00887C2B">
        <w:trPr>
          <w:trHeight w:val="9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485C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PORSCHE LEASING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8B21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   1.327,23 €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4C677" w14:textId="26A66B10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16.12.2020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A038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javni bilježnik; Nikola Tadić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547C7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OV-5710/2020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F896B" w14:textId="2B4A69EA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16.12.2020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8577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bjanko zadužnica za operativni leasing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1DE4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operativni leasing za automobil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F90BC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887C2B" w:rsidRPr="002F230C" w14:paraId="33D1608D" w14:textId="77777777" w:rsidTr="00887C2B">
        <w:trPr>
          <w:trHeight w:val="9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FCBB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PORSCHE LEASING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55020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 13.272,28 €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FAC53" w14:textId="5965FA16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16.12.2020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B7AE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javni bilježnik; Nikola Tadić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D6BA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OV-5711/2020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8630" w14:textId="60CDF9F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16.12.2020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B2D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bjanko zadužnica za operativni leasing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7597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operativni leasing za automobil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BDE0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887C2B" w:rsidRPr="002F230C" w14:paraId="3B4A88CF" w14:textId="77777777" w:rsidTr="00887C2B">
        <w:trPr>
          <w:trHeight w:val="9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C91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PORSCHE LEASING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E58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 13.272,28 €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116AE" w14:textId="3837FD74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16.12.2020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E941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javni bilježnik; Nikola Tadić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42680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OV-5712/2020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5C5B5" w14:textId="58FB6F44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16.12.2020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75FE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bjanko zadužnica za operativni leasing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3E74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operativni leasing za automobil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5D64A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887C2B" w:rsidRPr="002F230C" w14:paraId="65879159" w14:textId="77777777" w:rsidTr="00887C2B">
        <w:trPr>
          <w:trHeight w:val="18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4252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VISOKO UČILIŠTE ALGEBRA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00475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 10.000,00 €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7A69E" w14:textId="57030E5A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26.7.2023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B206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javni bilježnik; Ivan Tadić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D539E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OV-1479/2023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DA5A8" w14:textId="40E86B2E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26.7.2023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DCAB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školarina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86A1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bjanko zadužnica za vrijeme trajanja studija (stručni prijediplomski studij primijenjenog računarstva – smjer programsko inženjerstvo)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7A7A7" w14:textId="77777777" w:rsidR="009E1C98" w:rsidRPr="002F230C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2F230C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1CE001D0" w14:textId="77777777" w:rsidR="009E1C98" w:rsidRPr="00C72587" w:rsidRDefault="009E1C98" w:rsidP="009E1C98">
      <w:pPr>
        <w:ind w:left="-426"/>
        <w:jc w:val="both"/>
        <w:rPr>
          <w:rFonts w:ascii="Arial" w:hAnsi="Arial" w:cs="Arial"/>
          <w:lang w:val="hr-HR"/>
        </w:rPr>
      </w:pPr>
    </w:p>
    <w:p w14:paraId="58B2536A" w14:textId="77777777" w:rsidR="009E1C98" w:rsidRPr="00C72587" w:rsidRDefault="009E1C98" w:rsidP="009E1C98">
      <w:pPr>
        <w:ind w:left="-993"/>
        <w:jc w:val="both"/>
        <w:rPr>
          <w:rFonts w:ascii="Arial" w:hAnsi="Arial" w:cs="Arial"/>
          <w:lang w:val="hr-HR"/>
        </w:rPr>
      </w:pPr>
    </w:p>
    <w:p w14:paraId="4C36F4F4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7360209C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49CFF70F" w14:textId="77777777" w:rsidR="009E1C98" w:rsidRDefault="009E1C98" w:rsidP="00887C2B">
      <w:pPr>
        <w:ind w:left="-426" w:hanging="567"/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Tablica primljenih instrumenata osiguranja</w:t>
      </w:r>
    </w:p>
    <w:p w14:paraId="4A45D3FD" w14:textId="77777777" w:rsidR="009E1C98" w:rsidRDefault="009E1C98" w:rsidP="009E1C98">
      <w:pPr>
        <w:ind w:left="-426"/>
        <w:jc w:val="both"/>
        <w:rPr>
          <w:rFonts w:ascii="Arial" w:hAnsi="Arial" w:cs="Arial"/>
          <w:lang w:val="hr-HR"/>
        </w:rPr>
      </w:pPr>
    </w:p>
    <w:tbl>
      <w:tblPr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134"/>
        <w:gridCol w:w="1276"/>
        <w:gridCol w:w="992"/>
        <w:gridCol w:w="1134"/>
        <w:gridCol w:w="1134"/>
        <w:gridCol w:w="993"/>
        <w:gridCol w:w="1133"/>
      </w:tblGrid>
      <w:tr w:rsidR="00787F78" w:rsidRPr="00CE2D17" w14:paraId="07DAFD03" w14:textId="77777777" w:rsidTr="00D650D5">
        <w:trPr>
          <w:trHeight w:val="765"/>
        </w:trPr>
        <w:tc>
          <w:tcPr>
            <w:tcW w:w="113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73E26D1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DAVATELJ JAMSTVA</w:t>
            </w:r>
          </w:p>
        </w:tc>
        <w:tc>
          <w:tcPr>
            <w:tcW w:w="1134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507F3569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DATUM ZAPRIMANJA JAMSTVA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3B30F04F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IZNOS PRIMLJENOG JAMSTVA</w:t>
            </w:r>
          </w:p>
        </w:tc>
        <w:tc>
          <w:tcPr>
            <w:tcW w:w="1134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5F7FE781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DATUM JAMSTVA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48E133C7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JAVNI BILJEŽNIK KOJI JE IZVRŠIO OVJERU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028C3310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BROJ OVJERE</w:t>
            </w:r>
          </w:p>
        </w:tc>
        <w:tc>
          <w:tcPr>
            <w:tcW w:w="1134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578F9127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DATUM OVJERE</w:t>
            </w:r>
          </w:p>
        </w:tc>
        <w:tc>
          <w:tcPr>
            <w:tcW w:w="1134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39C062AE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POSTUPAK ZA KOJI JE IZDANA</w:t>
            </w:r>
          </w:p>
        </w:tc>
        <w:tc>
          <w:tcPr>
            <w:tcW w:w="993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F2F2F2"/>
            </w:tcBorders>
            <w:shd w:val="clear" w:color="000000" w:fill="203764"/>
            <w:vAlign w:val="center"/>
            <w:hideMark/>
          </w:tcPr>
          <w:p w14:paraId="24969211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SVRHA U KOJU JE IZDANA</w:t>
            </w:r>
          </w:p>
        </w:tc>
        <w:tc>
          <w:tcPr>
            <w:tcW w:w="1133" w:type="dxa"/>
            <w:tcBorders>
              <w:top w:val="single" w:sz="4" w:space="0" w:color="8EA9DB"/>
              <w:left w:val="single" w:sz="4" w:space="0" w:color="F2F2F2"/>
              <w:bottom w:val="single" w:sz="4" w:space="0" w:color="8EA9DB"/>
              <w:right w:val="single" w:sz="4" w:space="0" w:color="8EA9DB"/>
            </w:tcBorders>
            <w:shd w:val="clear" w:color="000000" w:fill="203764"/>
            <w:vAlign w:val="center"/>
            <w:hideMark/>
          </w:tcPr>
          <w:p w14:paraId="3F6E5C6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DATUM VRAĆANJA JAMSTVA</w:t>
            </w:r>
          </w:p>
        </w:tc>
      </w:tr>
      <w:tr w:rsidR="00787F78" w:rsidRPr="00CE2D17" w14:paraId="6D6DE77E" w14:textId="77777777" w:rsidTr="00D650D5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14A8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ADRIA ZAPOSLENICI d.o.o.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768D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08.02.2023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F36F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     3.000,00 €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DF09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07.02.2023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43E5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bilježnik; Jasminka Vrba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8A0C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OV-1520/2023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D0BD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07.02.2023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CF88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JN-1-2023; ustupanje radnika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6B66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ozbiljnost ponude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FD79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02.03.2023</w:t>
            </w:r>
          </w:p>
        </w:tc>
      </w:tr>
      <w:tr w:rsidR="00787F78" w:rsidRPr="00CE2D17" w14:paraId="4D246190" w14:textId="77777777" w:rsidTr="00D650D5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B321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ADRIA ZAPOSLENICI d.o.o.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B143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1A9F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  10.246,00 €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4A50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9EF9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bilježnik; Jasminka Vrba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B455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OV-2564/2023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2713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EA08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JN-1-2023; ustupanje radnika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FE7C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izvršenje ugovora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C320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87F78" w:rsidRPr="00CE2D17" w14:paraId="03EA1974" w14:textId="77777777" w:rsidTr="00D650D5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C156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GDCK Osijek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A28F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13.04.2023.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2921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     1.000,00 €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C761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BFC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bilježnik ; Lidija Perić, Osijek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687E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OV-2129/2023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7CA4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9BBC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JN-3-2023; Grupa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546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izvršenje ugovora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32AF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87F78" w:rsidRPr="00CE2D17" w14:paraId="36B69F9A" w14:textId="77777777" w:rsidTr="00D650D5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1B4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GDCK Osijek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7B94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05.05.2023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DD58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  10.000,00 €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471E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350B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bilježnik ; Lidija Perić, Osijek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DD9B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OV-2533/2023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71C0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C90F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JN-3-2023; Grupa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3D6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izvršenje ugovora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B8E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87F78" w:rsidRPr="00CE2D17" w14:paraId="7805F75C" w14:textId="77777777" w:rsidTr="00D650D5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A73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PRINTSHOP d.o.o.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F13F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18.08.2023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CDB0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  10.000,00 €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9D93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D291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bilježnik; Vera Marčina, Zadar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C710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OV-4548/2023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881C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3EBC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JN-2-2023; promo materijal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A4B6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ozbiljnost ponude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C20B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10.10.2023.</w:t>
            </w:r>
          </w:p>
        </w:tc>
      </w:tr>
      <w:tr w:rsidR="00787F78" w:rsidRPr="00CE2D17" w14:paraId="105D824A" w14:textId="77777777" w:rsidTr="00D650D5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7CAF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MICHEL d.o.o.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0D94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28.08.2023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D5F5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  10.000,00 €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071F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25.08.2023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186A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bilježnik; Tomislav Matijević,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606B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OV-8241/2023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AE67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25.08.2023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94D7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JN-2-2023; promo materijal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B367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ozbiljnost ponude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5235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10.10.2023.</w:t>
            </w:r>
          </w:p>
        </w:tc>
      </w:tr>
      <w:tr w:rsidR="00787F78" w:rsidRPr="00CE2D17" w14:paraId="3079CC90" w14:textId="77777777" w:rsidTr="00D650D5">
        <w:trPr>
          <w:trHeight w:val="900"/>
        </w:trPr>
        <w:tc>
          <w:tcPr>
            <w:tcW w:w="1135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0BD9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RECOM d.o.o.</w:t>
            </w:r>
          </w:p>
        </w:tc>
        <w:tc>
          <w:tcPr>
            <w:tcW w:w="1134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8229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23.08.2023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4254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     3.000,00 € </w:t>
            </w:r>
          </w:p>
        </w:tc>
        <w:tc>
          <w:tcPr>
            <w:tcW w:w="1134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456B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21.08.2023</w:t>
            </w:r>
          </w:p>
        </w:tc>
        <w:tc>
          <w:tcPr>
            <w:tcW w:w="1276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D67E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bilježnik; Jasminka Vrba, Zagreb</w:t>
            </w:r>
          </w:p>
        </w:tc>
        <w:tc>
          <w:tcPr>
            <w:tcW w:w="992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513A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OV-11429/2023</w:t>
            </w:r>
          </w:p>
        </w:tc>
        <w:tc>
          <w:tcPr>
            <w:tcW w:w="1134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F369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22.08.2023</w:t>
            </w:r>
          </w:p>
        </w:tc>
        <w:tc>
          <w:tcPr>
            <w:tcW w:w="1134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FF14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JN-2-2023; promo materijal</w:t>
            </w:r>
          </w:p>
        </w:tc>
        <w:tc>
          <w:tcPr>
            <w:tcW w:w="993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6687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ozbiljnost ponude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0EBA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10.10.2023.</w:t>
            </w:r>
          </w:p>
        </w:tc>
      </w:tr>
      <w:tr w:rsidR="00787F78" w:rsidRPr="00CE2D17" w14:paraId="32A27679" w14:textId="77777777" w:rsidTr="00D650D5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85BB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AKWOOD &amp; SDI Interijeri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3378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02.10.2023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68F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  10.000,00 €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EA66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02.10.2023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26C5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bilježnik; Davor Dukat,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13A2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OV-362/2023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ECF1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02.10.2023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B124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izrada 14 sjenila za prozore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98E1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jamstvo za plaćanje avansa 70% ponude (ponuda 6.860,00)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D1AB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24.11.2023.</w:t>
            </w:r>
          </w:p>
        </w:tc>
      </w:tr>
      <w:tr w:rsidR="00787F78" w:rsidRPr="00CE2D17" w14:paraId="6A5D1794" w14:textId="77777777" w:rsidTr="00D650D5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C245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PRINTSHOP d.o.o.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A164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09.10.2023.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4861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  10.000,00 €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7CEB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21.03.2023.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0860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bilježnik; Vera Marčina, Zadar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563E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OV-3178/2023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5CAB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21.03.2023.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E54A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JN-2-2023; promo materijal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0134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izvršenje ugovora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0001" w14:textId="77777777" w:rsidR="009E1C98" w:rsidRPr="00CE2D17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E2D17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105E744A" w14:textId="77777777" w:rsidR="009E1C98" w:rsidRPr="00C72587" w:rsidRDefault="009E1C98" w:rsidP="009E1C98">
      <w:pPr>
        <w:ind w:left="-426"/>
        <w:jc w:val="both"/>
        <w:rPr>
          <w:rFonts w:ascii="Arial" w:hAnsi="Arial" w:cs="Arial"/>
          <w:lang w:val="hr-HR"/>
        </w:rPr>
      </w:pPr>
    </w:p>
    <w:p w14:paraId="12A00776" w14:textId="77777777" w:rsidR="009E1C98" w:rsidRPr="00C72587" w:rsidRDefault="009E1C98" w:rsidP="009E1C98">
      <w:pPr>
        <w:ind w:left="-426"/>
        <w:jc w:val="both"/>
        <w:rPr>
          <w:rFonts w:ascii="Arial" w:hAnsi="Arial" w:cs="Arial"/>
          <w:lang w:val="hr-HR"/>
        </w:rPr>
      </w:pPr>
    </w:p>
    <w:p w14:paraId="204B05C6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7929307A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3C35B753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Tablica primljenih novčanih pologa</w:t>
      </w:r>
    </w:p>
    <w:p w14:paraId="73C6C07E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1560"/>
        <w:gridCol w:w="1560"/>
        <w:gridCol w:w="1559"/>
        <w:gridCol w:w="2126"/>
        <w:gridCol w:w="2268"/>
        <w:gridCol w:w="1843"/>
      </w:tblGrid>
      <w:tr w:rsidR="009E1C98" w:rsidRPr="00FA7769" w14:paraId="5628B6BE" w14:textId="77777777" w:rsidTr="00D650D5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D39DB5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DAVATELJ NOVČANOG POLOGA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55ED04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DATUM UPLATE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2727822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IZNOS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77ADB5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POSTUPAK ZA KOJI JE IZDANA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64FCE2B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SVRHA U KOJU JE IZDANA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A54A85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 w:eastAsia="hr-HR"/>
              </w:rPr>
              <w:t>DATUM POVRATKA</w:t>
            </w:r>
          </w:p>
        </w:tc>
      </w:tr>
      <w:tr w:rsidR="009E1C98" w:rsidRPr="00FA7769" w14:paraId="402030E0" w14:textId="77777777" w:rsidTr="00D650D5">
        <w:trPr>
          <w:trHeight w:val="1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77C8C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SPERANZA D.O.O.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20BC9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16/3/2023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ADA7E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    750,00 €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B74A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JN-3-2023; grupa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6F78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polog jamstva za ozbiljnost ponude za Usluge smještaja, prehrane i najma dvorane za potrebe programa Europske snage solidarnosti, Grupa_2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12EE0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03.05.2023</w:t>
            </w:r>
          </w:p>
        </w:tc>
      </w:tr>
      <w:tr w:rsidR="009E1C98" w:rsidRPr="00FA7769" w14:paraId="391F0CFF" w14:textId="77777777" w:rsidTr="00D650D5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FD1A0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GDCK OSIJEK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9AF35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20/3/2023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3540D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1.500,00 €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C61B9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JN-3-2023; grupa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B85E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polog jamstva za ozbiljnost ponude za Usluge smještaja, prehrane i najma dvorane za potrebe programa Europske snage solidarnosti, Grupa_1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6D6E7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03.04.2023</w:t>
            </w:r>
          </w:p>
        </w:tc>
      </w:tr>
      <w:tr w:rsidR="009E1C98" w:rsidRPr="00FA7769" w14:paraId="2367D586" w14:textId="77777777" w:rsidTr="00D650D5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26B80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GDCK OSIJEK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2F7AC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20/3/2023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46A29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    180,00 €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97739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JN-3-2023; grupa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6E66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polog jamstva za ozbiljnost ponude za Usluge smještaja, prehrane i najma dvorane za potrebe programa Europske snage solidarnosti, Grupa_3_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AE45F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03.05.2023</w:t>
            </w:r>
          </w:p>
        </w:tc>
      </w:tr>
      <w:tr w:rsidR="009E1C98" w:rsidRPr="00FA7769" w14:paraId="687BA06D" w14:textId="77777777" w:rsidTr="00D650D5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3451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lastRenderedPageBreak/>
              <w:t xml:space="preserve">SPERANZA D.O.O.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F01EF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11.04.2023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A06FE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1.997,00 €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AF799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JN-3-2023; grupa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5A55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Polog jamstva za uredno ispunjenje Ugovora </w:t>
            </w: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softHyphen/>
              <w:t xml:space="preserve"> Usluge smještaja, prehrane i najma dvorane za potrebe ESS, za Grupu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B6B98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9E1C98" w:rsidRPr="00FA7769" w14:paraId="218A1E6B" w14:textId="77777777" w:rsidTr="00D650D5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65940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GDCK OSIJEK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ADC6A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20/3/2023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6CB7D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1.500,00 €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535A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JN-3-2023; grupa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6E79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polog jamstva za ozbiljnost ponude za Usluge smještaja, prehrane i najma dvorane za potrebe programa Europske snage solidarnosti, Grupa_1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DFC6F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23.05.2023</w:t>
            </w:r>
          </w:p>
        </w:tc>
      </w:tr>
      <w:tr w:rsidR="009E1C98" w:rsidRPr="00FA7769" w14:paraId="1A43BD4B" w14:textId="77777777" w:rsidTr="00D650D5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DBE85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LEONARDO MEDIA D.O.O.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2D160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23.08.2023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740A4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3.000,00 €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7BBA7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JN-2-2023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DAF8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Polog jamstva za ozbiljnost ponude za nabavu promotivnih materijala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B4C1E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13.10.2023.</w:t>
            </w:r>
          </w:p>
        </w:tc>
      </w:tr>
      <w:tr w:rsidR="009E1C98" w:rsidRPr="00FA7769" w14:paraId="12830294" w14:textId="77777777" w:rsidTr="00D650D5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1A809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HUP d.o.o.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272E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22.09.2023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3D53E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1.300,00 €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89AF0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JN-5-2023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ED4A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Polog jamstva za ozbiljnost ponude za nabavu JN-5-2023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7EC59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9E1C98" w:rsidRPr="00FA7769" w14:paraId="0907997C" w14:textId="77777777" w:rsidTr="00D650D5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9F23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HUP d.o.o.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3E478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07.11.2023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0B8DE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  4.616,01 €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0FE5A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JN-5-2023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BD80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Polog jamstva za uredno ispunjenje Ugovora za nabavu JN-5-2023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CC89" w14:textId="77777777" w:rsidR="009E1C98" w:rsidRPr="00FA7769" w:rsidRDefault="009E1C98" w:rsidP="00AE00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FA776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0397EB50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762B178D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6E3384F7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4980E49A" w14:textId="77777777" w:rsidR="009E1C98" w:rsidRPr="00C72587" w:rsidRDefault="009E1C98" w:rsidP="00D650D5">
      <w:pPr>
        <w:ind w:left="-993"/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Prilog II. Sudski sporovi u tijeku</w:t>
      </w:r>
    </w:p>
    <w:p w14:paraId="70CEBEEF" w14:textId="77777777" w:rsidR="009E1C98" w:rsidRPr="00C72587" w:rsidRDefault="009E1C98" w:rsidP="00D650D5">
      <w:pPr>
        <w:ind w:left="-993"/>
        <w:jc w:val="both"/>
        <w:rPr>
          <w:rFonts w:ascii="Arial" w:hAnsi="Arial" w:cs="Arial"/>
          <w:lang w:val="hr-HR"/>
        </w:rPr>
      </w:pPr>
    </w:p>
    <w:p w14:paraId="467FD29B" w14:textId="77777777" w:rsidR="009E1C98" w:rsidRPr="00C72587" w:rsidRDefault="009E1C98" w:rsidP="00D650D5">
      <w:pPr>
        <w:ind w:left="-993"/>
        <w:jc w:val="both"/>
        <w:rPr>
          <w:rFonts w:ascii="Arial" w:hAnsi="Arial" w:cs="Arial"/>
          <w:lang w:val="hr-HR"/>
        </w:rPr>
      </w:pPr>
      <w:r w:rsidRPr="00C72587">
        <w:rPr>
          <w:rFonts w:ascii="Arial" w:hAnsi="Arial" w:cs="Arial"/>
          <w:lang w:val="hr-HR"/>
        </w:rPr>
        <w:t>Tablica popisa sudskih sporova u tijeku – proračunski korisnik tužitelj</w:t>
      </w: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1840"/>
        <w:gridCol w:w="1560"/>
        <w:gridCol w:w="1984"/>
        <w:gridCol w:w="1701"/>
        <w:gridCol w:w="1418"/>
        <w:gridCol w:w="1704"/>
      </w:tblGrid>
      <w:tr w:rsidR="004817AC" w:rsidRPr="004817AC" w14:paraId="2511D93F" w14:textId="77777777" w:rsidTr="004817AC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FC16407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  <w:t>RB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9271A17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  <w:t>OVRŠENIK TUŽENIK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C20AB03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  <w:t xml:space="preserve"> OPIS PRIRODE SPORA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4C4D76F1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  <w:t>IZNOS TRAŽENOG IZNOSA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2D8E81F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  <w:t>PROCIJENJENO VRIJEME PRILJEVA SREDSTAVA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64DCEAB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  <w:t>POČETAK SUDSKOG SPORA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1FE550E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 w:eastAsia="hr-HR"/>
              </w:rPr>
              <w:t>NAPOMENA</w:t>
            </w:r>
          </w:p>
        </w:tc>
      </w:tr>
      <w:tr w:rsidR="004817AC" w:rsidRPr="004817AC" w14:paraId="71DA977D" w14:textId="77777777" w:rsidTr="004817AC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81397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4931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VOLONTERSKI CENTAR SLAVONSKI BROD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8C5A0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DUG PO UGOVORU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6976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 xml:space="preserve">          11.903,19 €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4A1A5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03-10/2024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9FF3F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25.7.2022.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F898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obročna otplata temeljem Rješenje o uvjetnoj odgodi kaznenog progona ODO SB, posl.br. KP-DO-10/2023 od 17.11.2023.</w:t>
            </w:r>
          </w:p>
        </w:tc>
      </w:tr>
      <w:tr w:rsidR="004817AC" w:rsidRPr="004817AC" w14:paraId="0F8C29BE" w14:textId="77777777" w:rsidTr="004817AC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2800F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9DC9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REGIONALNI INFO CENTAR ZA MLADE RIJEKA - UMKI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CF5CB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DUG PO UGOVORU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5B6A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 xml:space="preserve">             3.825,14 €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D636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nije moguće odrediti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7B440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4.1.2021.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E4E6" w14:textId="77777777" w:rsidR="004817AC" w:rsidRPr="004817AC" w:rsidRDefault="004817AC" w:rsidP="004817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4817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povodom žalbe tuženika od 3.1.2023. u tijeku je iščekivanje drugostupanjske odluke</w:t>
            </w:r>
          </w:p>
        </w:tc>
      </w:tr>
    </w:tbl>
    <w:p w14:paraId="30BF60D9" w14:textId="097E4C76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38F324D2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62D86AC6" w14:textId="77777777" w:rsidR="009E1C98" w:rsidRPr="00C72587" w:rsidRDefault="009E1C98" w:rsidP="009E1C98">
      <w:pPr>
        <w:jc w:val="both"/>
        <w:rPr>
          <w:rFonts w:ascii="Arial" w:hAnsi="Arial" w:cs="Arial"/>
          <w:lang w:val="hr-HR"/>
        </w:rPr>
      </w:pPr>
    </w:p>
    <w:p w14:paraId="2314F8BF" w14:textId="77777777" w:rsidR="00F308D5" w:rsidRPr="00C72587" w:rsidRDefault="00F308D5" w:rsidP="00C72587">
      <w:pPr>
        <w:jc w:val="both"/>
        <w:rPr>
          <w:rFonts w:ascii="Arial" w:hAnsi="Arial" w:cs="Arial"/>
          <w:lang w:val="hr-HR"/>
        </w:rPr>
      </w:pPr>
    </w:p>
    <w:sectPr w:rsidR="00F308D5" w:rsidRPr="00C72587" w:rsidSect="002B1051">
      <w:headerReference w:type="default" r:id="rId11"/>
      <w:footerReference w:type="default" r:id="rId12"/>
      <w:pgSz w:w="11900" w:h="16840"/>
      <w:pgMar w:top="1440" w:right="1797" w:bottom="1440" w:left="179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30A3" w14:textId="77777777" w:rsidR="00773B48" w:rsidRDefault="00773B48">
      <w:r>
        <w:separator/>
      </w:r>
    </w:p>
  </w:endnote>
  <w:endnote w:type="continuationSeparator" w:id="0">
    <w:p w14:paraId="21FA0542" w14:textId="77777777" w:rsidR="00773B48" w:rsidRDefault="007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029390"/>
      <w:docPartObj>
        <w:docPartGallery w:val="Page Numbers (Bottom of Page)"/>
        <w:docPartUnique/>
      </w:docPartObj>
    </w:sdtPr>
    <w:sdtEndPr/>
    <w:sdtContent>
      <w:p w14:paraId="07AE1B99" w14:textId="3E802E4A" w:rsidR="001D1FF6" w:rsidRDefault="001D1FF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A9F0C33" w14:textId="09A12FA9" w:rsidR="00BD25D3" w:rsidRDefault="00BD25D3" w:rsidP="00BD25D3">
    <w:pPr>
      <w:pStyle w:val="Podnoje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427A" w14:textId="77777777" w:rsidR="00773B48" w:rsidRDefault="00773B48">
      <w:r>
        <w:separator/>
      </w:r>
    </w:p>
  </w:footnote>
  <w:footnote w:type="continuationSeparator" w:id="0">
    <w:p w14:paraId="4A407FFB" w14:textId="77777777" w:rsidR="00773B48" w:rsidRDefault="0077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2" w14:textId="77777777" w:rsidR="00BD25D3" w:rsidRDefault="00A75185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9F0C34" wp14:editId="2A9F0C35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88439382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094A"/>
    <w:multiLevelType w:val="hybridMultilevel"/>
    <w:tmpl w:val="34A2824A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162426BC"/>
    <w:multiLevelType w:val="hybridMultilevel"/>
    <w:tmpl w:val="5322CA5C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2182325E"/>
    <w:multiLevelType w:val="hybridMultilevel"/>
    <w:tmpl w:val="DE145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066"/>
    <w:multiLevelType w:val="hybridMultilevel"/>
    <w:tmpl w:val="5AD402EC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32F76515"/>
    <w:multiLevelType w:val="hybridMultilevel"/>
    <w:tmpl w:val="D4D80B94"/>
    <w:lvl w:ilvl="0" w:tplc="C6EC073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" w:hanging="360"/>
      </w:pPr>
    </w:lvl>
    <w:lvl w:ilvl="2" w:tplc="041A001B" w:tentative="1">
      <w:start w:val="1"/>
      <w:numFmt w:val="lowerRoman"/>
      <w:lvlText w:val="%3."/>
      <w:lvlJc w:val="right"/>
      <w:pPr>
        <w:ind w:left="807" w:hanging="180"/>
      </w:pPr>
    </w:lvl>
    <w:lvl w:ilvl="3" w:tplc="041A000F" w:tentative="1">
      <w:start w:val="1"/>
      <w:numFmt w:val="decimal"/>
      <w:lvlText w:val="%4."/>
      <w:lvlJc w:val="left"/>
      <w:pPr>
        <w:ind w:left="1527" w:hanging="360"/>
      </w:pPr>
    </w:lvl>
    <w:lvl w:ilvl="4" w:tplc="041A0019" w:tentative="1">
      <w:start w:val="1"/>
      <w:numFmt w:val="lowerLetter"/>
      <w:lvlText w:val="%5."/>
      <w:lvlJc w:val="left"/>
      <w:pPr>
        <w:ind w:left="2247" w:hanging="360"/>
      </w:pPr>
    </w:lvl>
    <w:lvl w:ilvl="5" w:tplc="041A001B" w:tentative="1">
      <w:start w:val="1"/>
      <w:numFmt w:val="lowerRoman"/>
      <w:lvlText w:val="%6."/>
      <w:lvlJc w:val="right"/>
      <w:pPr>
        <w:ind w:left="2967" w:hanging="180"/>
      </w:pPr>
    </w:lvl>
    <w:lvl w:ilvl="6" w:tplc="041A000F" w:tentative="1">
      <w:start w:val="1"/>
      <w:numFmt w:val="decimal"/>
      <w:lvlText w:val="%7."/>
      <w:lvlJc w:val="left"/>
      <w:pPr>
        <w:ind w:left="3687" w:hanging="360"/>
      </w:pPr>
    </w:lvl>
    <w:lvl w:ilvl="7" w:tplc="041A0019" w:tentative="1">
      <w:start w:val="1"/>
      <w:numFmt w:val="lowerLetter"/>
      <w:lvlText w:val="%8."/>
      <w:lvlJc w:val="left"/>
      <w:pPr>
        <w:ind w:left="4407" w:hanging="360"/>
      </w:pPr>
    </w:lvl>
    <w:lvl w:ilvl="8" w:tplc="041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39AB036F"/>
    <w:multiLevelType w:val="hybridMultilevel"/>
    <w:tmpl w:val="D88E7E32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B5D11EE"/>
    <w:multiLevelType w:val="hybridMultilevel"/>
    <w:tmpl w:val="FB882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371436">
    <w:abstractNumId w:val="4"/>
  </w:num>
  <w:num w:numId="2" w16cid:durableId="1113280371">
    <w:abstractNumId w:val="3"/>
  </w:num>
  <w:num w:numId="3" w16cid:durableId="846601504">
    <w:abstractNumId w:val="0"/>
  </w:num>
  <w:num w:numId="4" w16cid:durableId="1686512463">
    <w:abstractNumId w:val="1"/>
  </w:num>
  <w:num w:numId="5" w16cid:durableId="169292971">
    <w:abstractNumId w:val="6"/>
  </w:num>
  <w:num w:numId="6" w16cid:durableId="1401711466">
    <w:abstractNumId w:val="2"/>
  </w:num>
  <w:num w:numId="7" w16cid:durableId="1031154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5047"/>
    <w:rsid w:val="000845B0"/>
    <w:rsid w:val="000A0C1F"/>
    <w:rsid w:val="000A2872"/>
    <w:rsid w:val="000A5AE8"/>
    <w:rsid w:val="000B568B"/>
    <w:rsid w:val="000D38FF"/>
    <w:rsid w:val="000D756B"/>
    <w:rsid w:val="001143DB"/>
    <w:rsid w:val="00135978"/>
    <w:rsid w:val="00156F0E"/>
    <w:rsid w:val="0016338D"/>
    <w:rsid w:val="00170CB3"/>
    <w:rsid w:val="0019391A"/>
    <w:rsid w:val="00195F7D"/>
    <w:rsid w:val="001C19AD"/>
    <w:rsid w:val="001D1FF6"/>
    <w:rsid w:val="001D21C0"/>
    <w:rsid w:val="001F1127"/>
    <w:rsid w:val="001F2825"/>
    <w:rsid w:val="00201B71"/>
    <w:rsid w:val="00202971"/>
    <w:rsid w:val="00223045"/>
    <w:rsid w:val="00276E28"/>
    <w:rsid w:val="002B1051"/>
    <w:rsid w:val="002D2CC0"/>
    <w:rsid w:val="002D4C3C"/>
    <w:rsid w:val="002D6785"/>
    <w:rsid w:val="002D6817"/>
    <w:rsid w:val="00311E6A"/>
    <w:rsid w:val="00336C2E"/>
    <w:rsid w:val="00346CD2"/>
    <w:rsid w:val="0036297A"/>
    <w:rsid w:val="00367E52"/>
    <w:rsid w:val="003807DD"/>
    <w:rsid w:val="003A359B"/>
    <w:rsid w:val="003F5F4E"/>
    <w:rsid w:val="00407DB2"/>
    <w:rsid w:val="00432F22"/>
    <w:rsid w:val="00440620"/>
    <w:rsid w:val="00440A8C"/>
    <w:rsid w:val="004410FF"/>
    <w:rsid w:val="00457A38"/>
    <w:rsid w:val="00477CD2"/>
    <w:rsid w:val="004817AC"/>
    <w:rsid w:val="004A7F4D"/>
    <w:rsid w:val="004F25F8"/>
    <w:rsid w:val="0051293A"/>
    <w:rsid w:val="005211B5"/>
    <w:rsid w:val="005222DE"/>
    <w:rsid w:val="005268E8"/>
    <w:rsid w:val="00530834"/>
    <w:rsid w:val="00543173"/>
    <w:rsid w:val="00551814"/>
    <w:rsid w:val="00563E56"/>
    <w:rsid w:val="00572BD0"/>
    <w:rsid w:val="00586C3F"/>
    <w:rsid w:val="00595DEA"/>
    <w:rsid w:val="005B62FC"/>
    <w:rsid w:val="005D2258"/>
    <w:rsid w:val="005E0878"/>
    <w:rsid w:val="005F3FF5"/>
    <w:rsid w:val="00617605"/>
    <w:rsid w:val="0063756A"/>
    <w:rsid w:val="0064526A"/>
    <w:rsid w:val="00651D45"/>
    <w:rsid w:val="006610D9"/>
    <w:rsid w:val="00676BF5"/>
    <w:rsid w:val="006821A5"/>
    <w:rsid w:val="006828B4"/>
    <w:rsid w:val="00684765"/>
    <w:rsid w:val="006B119B"/>
    <w:rsid w:val="006E4D87"/>
    <w:rsid w:val="006E6CAA"/>
    <w:rsid w:val="00717B7F"/>
    <w:rsid w:val="00732FEC"/>
    <w:rsid w:val="007574A7"/>
    <w:rsid w:val="00771D29"/>
    <w:rsid w:val="00773B48"/>
    <w:rsid w:val="007744E6"/>
    <w:rsid w:val="007770BC"/>
    <w:rsid w:val="00787F78"/>
    <w:rsid w:val="007929CA"/>
    <w:rsid w:val="007D1846"/>
    <w:rsid w:val="007F6DC0"/>
    <w:rsid w:val="008109BC"/>
    <w:rsid w:val="0081660C"/>
    <w:rsid w:val="0084145C"/>
    <w:rsid w:val="00862217"/>
    <w:rsid w:val="00887C2B"/>
    <w:rsid w:val="008E1922"/>
    <w:rsid w:val="00906ACF"/>
    <w:rsid w:val="00906CB4"/>
    <w:rsid w:val="00914F0C"/>
    <w:rsid w:val="00977232"/>
    <w:rsid w:val="00977CCF"/>
    <w:rsid w:val="00985A2B"/>
    <w:rsid w:val="009A6B83"/>
    <w:rsid w:val="009B120E"/>
    <w:rsid w:val="009B45D1"/>
    <w:rsid w:val="009D0681"/>
    <w:rsid w:val="009D29D3"/>
    <w:rsid w:val="009D7B78"/>
    <w:rsid w:val="009E1C98"/>
    <w:rsid w:val="009F5327"/>
    <w:rsid w:val="009F7B50"/>
    <w:rsid w:val="00A00435"/>
    <w:rsid w:val="00A21557"/>
    <w:rsid w:val="00A666BA"/>
    <w:rsid w:val="00A75185"/>
    <w:rsid w:val="00A96871"/>
    <w:rsid w:val="00AB1792"/>
    <w:rsid w:val="00AC0B7A"/>
    <w:rsid w:val="00AE7657"/>
    <w:rsid w:val="00AF3E05"/>
    <w:rsid w:val="00B123C8"/>
    <w:rsid w:val="00B26634"/>
    <w:rsid w:val="00B4074F"/>
    <w:rsid w:val="00B628F0"/>
    <w:rsid w:val="00BD25D3"/>
    <w:rsid w:val="00BE3353"/>
    <w:rsid w:val="00BE5EDA"/>
    <w:rsid w:val="00BF5F34"/>
    <w:rsid w:val="00BF6217"/>
    <w:rsid w:val="00C11360"/>
    <w:rsid w:val="00C47232"/>
    <w:rsid w:val="00C72587"/>
    <w:rsid w:val="00CD03B1"/>
    <w:rsid w:val="00CD2501"/>
    <w:rsid w:val="00CE0986"/>
    <w:rsid w:val="00CE5DA1"/>
    <w:rsid w:val="00CE6EC2"/>
    <w:rsid w:val="00CF5630"/>
    <w:rsid w:val="00D114BC"/>
    <w:rsid w:val="00D24B74"/>
    <w:rsid w:val="00D33361"/>
    <w:rsid w:val="00D522EF"/>
    <w:rsid w:val="00D61004"/>
    <w:rsid w:val="00D61187"/>
    <w:rsid w:val="00D650D5"/>
    <w:rsid w:val="00D90D3D"/>
    <w:rsid w:val="00DD3E9D"/>
    <w:rsid w:val="00DF0F4C"/>
    <w:rsid w:val="00E331A8"/>
    <w:rsid w:val="00E566ED"/>
    <w:rsid w:val="00E60A47"/>
    <w:rsid w:val="00E74788"/>
    <w:rsid w:val="00EB35E0"/>
    <w:rsid w:val="00EC383B"/>
    <w:rsid w:val="00F010C8"/>
    <w:rsid w:val="00F11BC8"/>
    <w:rsid w:val="00F11C9C"/>
    <w:rsid w:val="00F25A3F"/>
    <w:rsid w:val="00F308D5"/>
    <w:rsid w:val="00F5090E"/>
    <w:rsid w:val="00F568DF"/>
    <w:rsid w:val="00F709D7"/>
    <w:rsid w:val="00F82FFF"/>
    <w:rsid w:val="00FB60D5"/>
    <w:rsid w:val="00FC6B76"/>
    <w:rsid w:val="00FE025D"/>
    <w:rsid w:val="00FE4EDD"/>
    <w:rsid w:val="00FE7223"/>
    <w:rsid w:val="5B635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0C2F"/>
  <w15:docId w15:val="{F472EF7B-A174-4159-950B-6A487CC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25D3"/>
  </w:style>
  <w:style w:type="paragraph" w:styleId="Podnoje">
    <w:name w:val="footer"/>
    <w:basedOn w:val="Normal"/>
    <w:link w:val="Podnoje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25D3"/>
  </w:style>
  <w:style w:type="character" w:styleId="Hiperveza">
    <w:name w:val="Hyperlink"/>
    <w:basedOn w:val="Zadanifontodlomka"/>
    <w:uiPriority w:val="99"/>
    <w:unhideWhenUsed/>
    <w:rsid w:val="00717B7F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9D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F53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F53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F53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F53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F5327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0D38FF"/>
    <w:pPr>
      <w:ind w:left="720"/>
      <w:contextualSpacing/>
    </w:pPr>
  </w:style>
  <w:style w:type="paragraph" w:styleId="Revizija">
    <w:name w:val="Revision"/>
    <w:hidden/>
    <w:uiPriority w:val="99"/>
    <w:semiHidden/>
    <w:rsid w:val="00A21557"/>
  </w:style>
  <w:style w:type="paragraph" w:customStyle="1" w:styleId="xmsonormal">
    <w:name w:val="x_msonormal"/>
    <w:basedOn w:val="Normal"/>
    <w:rsid w:val="00B123C8"/>
    <w:rPr>
      <w:rFonts w:ascii="Calibri" w:eastAsia="Calibri" w:hAnsi="Calibri" w:cs="Calibri"/>
      <w:sz w:val="22"/>
      <w:szCs w:val="22"/>
      <w:lang w:val="hr-HR" w:eastAsia="hr-HR"/>
    </w:rPr>
  </w:style>
  <w:style w:type="paragraph" w:customStyle="1" w:styleId="paragraph">
    <w:name w:val="paragraph"/>
    <w:basedOn w:val="Normal"/>
    <w:rsid w:val="003F5F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Zadanifontodlomka"/>
    <w:rsid w:val="003F5F4E"/>
  </w:style>
  <w:style w:type="character" w:customStyle="1" w:styleId="eop">
    <w:name w:val="eop"/>
    <w:basedOn w:val="Zadanifontodlomka"/>
    <w:rsid w:val="003F5F4E"/>
  </w:style>
  <w:style w:type="character" w:customStyle="1" w:styleId="ui-provider">
    <w:name w:val="ui-provider"/>
    <w:basedOn w:val="Zadanifontodlomka"/>
    <w:rsid w:val="009A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3A027841B9148BF09C7D76BA4DE05" ma:contentTypeVersion="6" ma:contentTypeDescription="Create a new document." ma:contentTypeScope="" ma:versionID="1de761985746ab3d20d3eeb5d00ef022">
  <xsd:schema xmlns:xsd="http://www.w3.org/2001/XMLSchema" xmlns:xs="http://www.w3.org/2001/XMLSchema" xmlns:p="http://schemas.microsoft.com/office/2006/metadata/properties" xmlns:ns2="620bc55e-de77-4ded-b059-019c7cf7ccc5" xmlns:ns3="1da0a812-136f-4ea9-9d0e-4cd82503c772" targetNamespace="http://schemas.microsoft.com/office/2006/metadata/properties" ma:root="true" ma:fieldsID="45529930fd8fdad574551081a65f0a85" ns2:_="" ns3:_="">
    <xsd:import namespace="620bc55e-de77-4ded-b059-019c7cf7ccc5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bc55e-de77-4ded-b059-019c7cf7c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7E39-FC64-49C4-8FE3-C9F6D750E487}">
  <ds:schemaRefs>
    <ds:schemaRef ds:uri="http://schemas.microsoft.com/office/2006/documentManagement/types"/>
    <ds:schemaRef ds:uri="620bc55e-de77-4ded-b059-019c7cf7ccc5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1da0a812-136f-4ea9-9d0e-4cd82503c772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3D51E-F9BC-4675-BD9C-38E182372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bc55e-de77-4ded-b059-019c7cf7ccc5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BD357-8587-4D97-9B50-7C68B43E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Mihaela Lesičak</cp:lastModifiedBy>
  <cp:revision>38</cp:revision>
  <cp:lastPrinted>2023-01-30T12:05:00Z</cp:lastPrinted>
  <dcterms:created xsi:type="dcterms:W3CDTF">2024-01-28T18:06:00Z</dcterms:created>
  <dcterms:modified xsi:type="dcterms:W3CDTF">2024-01-31T10:11:00Z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0x0101007503A027841B9148BF09C7D76BA4DE05</vt:lpwstr>
  </property>
</Properties>
</file>