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54166" w14:textId="5E10CA20" w:rsidR="00440A8C" w:rsidRPr="00EF4AAB" w:rsidRDefault="00440A8C" w:rsidP="03E9FECE">
      <w:pPr>
        <w:rPr>
          <w:rFonts w:ascii="Arial" w:hAnsi="Arial" w:cs="Arial"/>
          <w:b/>
          <w:bCs/>
          <w:color w:val="595959"/>
          <w:lang w:val="hr-HR"/>
        </w:rPr>
      </w:pPr>
    </w:p>
    <w:p w14:paraId="45272551" w14:textId="09CF8067" w:rsidR="000A698F" w:rsidRPr="00EF4AAB" w:rsidRDefault="000A698F" w:rsidP="03E9FECE">
      <w:pPr>
        <w:rPr>
          <w:rFonts w:ascii="Arial" w:hAnsi="Arial" w:cs="Arial"/>
          <w:b/>
          <w:bCs/>
          <w:color w:val="595959"/>
          <w:lang w:val="hr-HR"/>
        </w:rPr>
      </w:pPr>
    </w:p>
    <w:p w14:paraId="787D9913" w14:textId="05666DCF" w:rsidR="000A698F" w:rsidRPr="00EF4AAB" w:rsidRDefault="000A698F" w:rsidP="03E9FECE">
      <w:pPr>
        <w:rPr>
          <w:rFonts w:ascii="Arial" w:hAnsi="Arial" w:cs="Arial"/>
          <w:b/>
          <w:bCs/>
          <w:color w:val="595959"/>
          <w:lang w:val="hr-HR"/>
        </w:rPr>
      </w:pPr>
    </w:p>
    <w:p w14:paraId="2C6D83BF" w14:textId="77777777" w:rsidR="000A698F" w:rsidRPr="00EF4AAB" w:rsidRDefault="000A698F" w:rsidP="000A698F">
      <w:pPr>
        <w:rPr>
          <w:lang w:val="hr-HR"/>
        </w:rPr>
      </w:pPr>
    </w:p>
    <w:p w14:paraId="0063FB2D" w14:textId="77777777" w:rsidR="000A698F" w:rsidRPr="00EF4AAB" w:rsidRDefault="000A698F" w:rsidP="000A698F">
      <w:pPr>
        <w:rPr>
          <w:lang w:val="hr-HR"/>
        </w:rPr>
      </w:pPr>
    </w:p>
    <w:p w14:paraId="16A7A296" w14:textId="77777777" w:rsidR="000A698F" w:rsidRPr="00EF4AAB" w:rsidRDefault="000A698F" w:rsidP="000A698F">
      <w:pPr>
        <w:rPr>
          <w:lang w:val="hr-HR"/>
        </w:rPr>
      </w:pPr>
    </w:p>
    <w:p w14:paraId="38151D4A" w14:textId="77777777" w:rsidR="000A698F" w:rsidRPr="00EF4AAB" w:rsidRDefault="000A698F" w:rsidP="000A698F">
      <w:pPr>
        <w:rPr>
          <w:lang w:val="hr-HR"/>
        </w:rPr>
      </w:pPr>
    </w:p>
    <w:p w14:paraId="1D116058" w14:textId="77777777" w:rsidR="000A698F" w:rsidRPr="00EF4AAB" w:rsidRDefault="000A698F" w:rsidP="000A698F">
      <w:pPr>
        <w:rPr>
          <w:lang w:val="hr-HR"/>
        </w:rPr>
      </w:pPr>
    </w:p>
    <w:p w14:paraId="3EA9C3AB" w14:textId="77777777" w:rsidR="000A698F" w:rsidRPr="00EF4AAB" w:rsidRDefault="000A698F" w:rsidP="000A698F">
      <w:pPr>
        <w:rPr>
          <w:lang w:val="hr-HR"/>
        </w:rPr>
      </w:pPr>
    </w:p>
    <w:p w14:paraId="11C45DB3" w14:textId="77777777" w:rsidR="000A698F" w:rsidRPr="00EF4AAB" w:rsidRDefault="000A698F" w:rsidP="000A698F">
      <w:pPr>
        <w:rPr>
          <w:lang w:val="hr-HR"/>
        </w:rPr>
      </w:pPr>
    </w:p>
    <w:p w14:paraId="354B690E" w14:textId="3ECAEA42" w:rsidR="000A698F" w:rsidRPr="00EF4AAB" w:rsidRDefault="000A698F" w:rsidP="00B64EDD">
      <w:pPr>
        <w:pStyle w:val="Heading2"/>
        <w:jc w:val="center"/>
        <w:rPr>
          <w:rFonts w:ascii="Arial" w:hAnsi="Arial" w:cs="Arial"/>
          <w:sz w:val="40"/>
          <w:szCs w:val="40"/>
          <w:lang w:val="hr-HR"/>
        </w:rPr>
      </w:pPr>
      <w:r w:rsidRPr="00EF4AAB">
        <w:rPr>
          <w:rFonts w:ascii="Arial" w:hAnsi="Arial" w:cs="Arial"/>
          <w:sz w:val="40"/>
          <w:szCs w:val="40"/>
          <w:lang w:val="hr-HR"/>
        </w:rPr>
        <w:t>Plan ravnopravnosti spolova Agencije za mobilnost i programe Europske unije 2022.</w:t>
      </w:r>
      <w:r w:rsidR="00EF4AAB" w:rsidRPr="00006E4C">
        <w:rPr>
          <w:lang w:val="hr-HR"/>
        </w:rPr>
        <w:t xml:space="preserve"> – </w:t>
      </w:r>
      <w:r w:rsidRPr="00EF4AAB">
        <w:rPr>
          <w:rFonts w:ascii="Arial" w:hAnsi="Arial" w:cs="Arial"/>
          <w:color w:val="1F497D" w:themeColor="text2"/>
          <w:sz w:val="40"/>
          <w:szCs w:val="40"/>
          <w:lang w:val="hr-HR"/>
        </w:rPr>
        <w:t>2026.</w:t>
      </w:r>
    </w:p>
    <w:p w14:paraId="7679DDDF" w14:textId="3C41B0B1" w:rsidR="000A698F" w:rsidRPr="00EF4AAB" w:rsidRDefault="000A698F" w:rsidP="000A698F">
      <w:pPr>
        <w:jc w:val="center"/>
        <w:rPr>
          <w:rFonts w:ascii="Arial" w:hAnsi="Arial" w:cs="Arial"/>
          <w:b/>
          <w:bCs/>
          <w:sz w:val="32"/>
          <w:szCs w:val="32"/>
          <w:lang w:val="hr-HR"/>
        </w:rPr>
      </w:pPr>
    </w:p>
    <w:p w14:paraId="3F2459BB" w14:textId="77777777" w:rsidR="000A698F" w:rsidRPr="00EF4AAB" w:rsidRDefault="000A698F" w:rsidP="000A698F">
      <w:pPr>
        <w:jc w:val="center"/>
        <w:rPr>
          <w:rFonts w:ascii="Arial" w:hAnsi="Arial" w:cs="Arial"/>
          <w:b/>
          <w:bCs/>
          <w:color w:val="A6A6A6" w:themeColor="background1" w:themeShade="A6"/>
          <w:sz w:val="32"/>
          <w:szCs w:val="32"/>
          <w:lang w:val="hr-HR"/>
        </w:rPr>
      </w:pPr>
    </w:p>
    <w:p w14:paraId="01B242E1" w14:textId="77777777" w:rsidR="000A698F" w:rsidRPr="00EF4AAB" w:rsidRDefault="000A698F" w:rsidP="000A698F">
      <w:pPr>
        <w:rPr>
          <w:lang w:val="hr-HR"/>
        </w:rPr>
      </w:pPr>
    </w:p>
    <w:p w14:paraId="2EBC6644" w14:textId="77777777" w:rsidR="000A698F" w:rsidRPr="00EF4AAB" w:rsidRDefault="000A698F" w:rsidP="000A698F">
      <w:pPr>
        <w:rPr>
          <w:lang w:val="hr-HR"/>
        </w:rPr>
      </w:pPr>
    </w:p>
    <w:p w14:paraId="0CABFED9" w14:textId="77777777" w:rsidR="000A698F" w:rsidRPr="00EF4AAB" w:rsidRDefault="000A698F" w:rsidP="000A698F">
      <w:pPr>
        <w:rPr>
          <w:lang w:val="hr-HR"/>
        </w:rPr>
      </w:pPr>
    </w:p>
    <w:p w14:paraId="3D5C8188" w14:textId="77777777" w:rsidR="000A698F" w:rsidRPr="00EF4AAB" w:rsidRDefault="000A698F" w:rsidP="000A698F">
      <w:pPr>
        <w:rPr>
          <w:lang w:val="hr-HR"/>
        </w:rPr>
      </w:pPr>
    </w:p>
    <w:p w14:paraId="20E208D0" w14:textId="77777777" w:rsidR="000A698F" w:rsidRPr="00EF4AAB" w:rsidRDefault="000A698F" w:rsidP="000A698F">
      <w:pPr>
        <w:rPr>
          <w:lang w:val="hr-HR"/>
        </w:rPr>
      </w:pPr>
    </w:p>
    <w:p w14:paraId="1A78D534" w14:textId="77777777" w:rsidR="000A698F" w:rsidRPr="00EF4AAB" w:rsidRDefault="000A698F" w:rsidP="000A698F">
      <w:pPr>
        <w:rPr>
          <w:lang w:val="hr-HR"/>
        </w:rPr>
      </w:pPr>
    </w:p>
    <w:p w14:paraId="2897E3DD" w14:textId="77777777" w:rsidR="000A698F" w:rsidRPr="00EF4AAB" w:rsidRDefault="000A698F" w:rsidP="000A698F">
      <w:pPr>
        <w:rPr>
          <w:lang w:val="hr-HR"/>
        </w:rPr>
      </w:pPr>
    </w:p>
    <w:p w14:paraId="660D630F" w14:textId="77777777" w:rsidR="000A698F" w:rsidRPr="00EF4AAB" w:rsidRDefault="000A698F" w:rsidP="000A698F">
      <w:pPr>
        <w:rPr>
          <w:lang w:val="hr-HR"/>
        </w:rPr>
      </w:pPr>
    </w:p>
    <w:p w14:paraId="17F1ECFB" w14:textId="77777777" w:rsidR="00B64EDD" w:rsidRPr="00EF4AAB" w:rsidRDefault="00B64EDD" w:rsidP="000A698F">
      <w:pPr>
        <w:rPr>
          <w:lang w:val="hr-HR"/>
        </w:rPr>
      </w:pPr>
    </w:p>
    <w:p w14:paraId="21F4221A" w14:textId="77777777" w:rsidR="000A698F" w:rsidRPr="00EF4AAB" w:rsidRDefault="000A698F" w:rsidP="000A698F">
      <w:pPr>
        <w:rPr>
          <w:lang w:val="hr-HR"/>
        </w:rPr>
      </w:pPr>
    </w:p>
    <w:p w14:paraId="37609A9A" w14:textId="20F4B5EC" w:rsidR="00AC095F" w:rsidRPr="00EF4AAB" w:rsidRDefault="000A698F" w:rsidP="00AC095F">
      <w:pPr>
        <w:jc w:val="center"/>
        <w:rPr>
          <w:rFonts w:ascii="Arial" w:hAnsi="Arial" w:cs="Arial"/>
          <w:sz w:val="28"/>
          <w:szCs w:val="28"/>
          <w:lang w:val="hr-HR"/>
        </w:rPr>
      </w:pPr>
      <w:r w:rsidRPr="00EF4AAB">
        <w:rPr>
          <w:rFonts w:ascii="Arial" w:hAnsi="Arial" w:cs="Arial"/>
          <w:sz w:val="28"/>
          <w:szCs w:val="28"/>
          <w:lang w:val="hr-HR"/>
        </w:rPr>
        <w:t xml:space="preserve">Zagreb, </w:t>
      </w:r>
      <w:r w:rsidR="00E4587B">
        <w:rPr>
          <w:rFonts w:ascii="Arial" w:hAnsi="Arial" w:cs="Arial"/>
          <w:sz w:val="28"/>
          <w:szCs w:val="28"/>
          <w:lang w:val="hr-HR"/>
        </w:rPr>
        <w:t>svibanj</w:t>
      </w:r>
      <w:r w:rsidRPr="00EF4AAB">
        <w:rPr>
          <w:rFonts w:ascii="Arial" w:hAnsi="Arial" w:cs="Arial"/>
          <w:sz w:val="28"/>
          <w:szCs w:val="28"/>
          <w:lang w:val="hr-HR"/>
        </w:rPr>
        <w:t xml:space="preserve"> 2022.</w:t>
      </w:r>
    </w:p>
    <w:p w14:paraId="757BC541" w14:textId="52E3EEAA" w:rsidR="007B7126" w:rsidRPr="00EF4AAB" w:rsidRDefault="00AC095F" w:rsidP="00AC095F">
      <w:pPr>
        <w:rPr>
          <w:rStyle w:val="Heading1Char"/>
          <w:rFonts w:ascii="Arial" w:eastAsiaTheme="minorEastAsia" w:hAnsi="Arial" w:cs="Arial"/>
          <w:color w:val="auto"/>
          <w:sz w:val="28"/>
          <w:szCs w:val="28"/>
          <w:lang w:val="hr-HR"/>
        </w:rPr>
      </w:pPr>
      <w:r w:rsidRPr="00EF4AAB">
        <w:rPr>
          <w:rFonts w:ascii="Arial" w:hAnsi="Arial" w:cs="Arial"/>
          <w:sz w:val="28"/>
          <w:szCs w:val="28"/>
          <w:lang w:val="hr-HR"/>
        </w:rPr>
        <w:br w:type="page"/>
      </w:r>
    </w:p>
    <w:p w14:paraId="04A0DEE6" w14:textId="2CAB950B" w:rsidR="000A698F" w:rsidRPr="00EF4AAB" w:rsidRDefault="000A698F" w:rsidP="00290935">
      <w:pPr>
        <w:pStyle w:val="Heading1"/>
        <w:rPr>
          <w:rStyle w:val="Heading1Char"/>
          <w:rFonts w:ascii="Arial" w:hAnsi="Arial" w:cs="Arial"/>
          <w:i/>
          <w:iCs/>
          <w:sz w:val="32"/>
          <w:szCs w:val="32"/>
          <w:lang w:val="hr-HR"/>
        </w:rPr>
      </w:pPr>
      <w:r w:rsidRPr="00EF4AAB">
        <w:rPr>
          <w:rStyle w:val="Heading1Char"/>
          <w:rFonts w:ascii="Arial" w:hAnsi="Arial" w:cs="Arial"/>
          <w:i/>
          <w:iCs/>
          <w:sz w:val="32"/>
          <w:szCs w:val="32"/>
          <w:lang w:val="hr-HR"/>
        </w:rPr>
        <w:lastRenderedPageBreak/>
        <w:t xml:space="preserve">Sadržaj </w:t>
      </w:r>
    </w:p>
    <w:p w14:paraId="4D8189FB" w14:textId="77777777" w:rsidR="00290935" w:rsidRPr="00EF4AAB" w:rsidRDefault="00290935" w:rsidP="00290935">
      <w:pPr>
        <w:rPr>
          <w:lang w:val="hr-HR"/>
        </w:rPr>
      </w:pPr>
    </w:p>
    <w:p w14:paraId="2A93DA40" w14:textId="7A6DE608" w:rsidR="000A698F" w:rsidRPr="00EF4AAB" w:rsidRDefault="000A698F" w:rsidP="000A698F">
      <w:pPr>
        <w:rPr>
          <w:rFonts w:ascii="Arial" w:hAnsi="Arial" w:cs="Arial"/>
          <w:lang w:val="hr-HR"/>
        </w:rPr>
      </w:pPr>
      <w:r w:rsidRPr="00EF4AAB">
        <w:rPr>
          <w:rFonts w:ascii="Arial" w:hAnsi="Arial" w:cs="Arial"/>
          <w:lang w:val="hr-HR"/>
        </w:rPr>
        <w:t>1. Zakonodavni, strateški i programski okvir........................................................</w:t>
      </w:r>
      <w:r w:rsidR="00B64EDD" w:rsidRPr="00EF4AAB">
        <w:rPr>
          <w:rFonts w:ascii="Arial" w:hAnsi="Arial" w:cs="Arial"/>
          <w:lang w:val="hr-HR"/>
        </w:rPr>
        <w:t>........</w:t>
      </w:r>
      <w:r w:rsidR="0092047B" w:rsidRPr="00EF4AAB">
        <w:rPr>
          <w:rFonts w:ascii="Arial" w:hAnsi="Arial" w:cs="Arial"/>
          <w:lang w:val="hr-HR"/>
        </w:rPr>
        <w:t>3</w:t>
      </w:r>
    </w:p>
    <w:p w14:paraId="052881AD" w14:textId="57B2FBE4" w:rsidR="000A698F" w:rsidRPr="00EF4AAB" w:rsidRDefault="000A698F" w:rsidP="000A698F">
      <w:pPr>
        <w:rPr>
          <w:rFonts w:ascii="Arial" w:hAnsi="Arial" w:cs="Arial"/>
          <w:lang w:val="hr-HR"/>
        </w:rPr>
      </w:pPr>
      <w:r w:rsidRPr="00EF4AAB">
        <w:rPr>
          <w:rFonts w:ascii="Arial" w:hAnsi="Arial" w:cs="Arial"/>
          <w:lang w:val="hr-HR"/>
        </w:rPr>
        <w:t>2. Institucionalni okvir i postojeće prakse ..............................................................</w:t>
      </w:r>
      <w:r w:rsidR="00B64EDD" w:rsidRPr="00EF4AAB">
        <w:rPr>
          <w:rFonts w:ascii="Arial" w:hAnsi="Arial" w:cs="Arial"/>
          <w:lang w:val="hr-HR"/>
        </w:rPr>
        <w:t>....</w:t>
      </w:r>
      <w:r w:rsidR="0092047B" w:rsidRPr="00EF4AAB">
        <w:rPr>
          <w:rFonts w:ascii="Arial" w:hAnsi="Arial" w:cs="Arial"/>
          <w:lang w:val="hr-HR"/>
        </w:rPr>
        <w:t>..5</w:t>
      </w:r>
    </w:p>
    <w:p w14:paraId="7E0374B4" w14:textId="5A713562" w:rsidR="000A698F" w:rsidRPr="00EF4AAB" w:rsidRDefault="000A698F" w:rsidP="000A698F">
      <w:pPr>
        <w:rPr>
          <w:rFonts w:ascii="Arial" w:hAnsi="Arial" w:cs="Arial"/>
          <w:lang w:val="hr-HR"/>
        </w:rPr>
      </w:pPr>
      <w:r w:rsidRPr="00EF4AAB">
        <w:rPr>
          <w:rFonts w:ascii="Arial" w:hAnsi="Arial" w:cs="Arial"/>
          <w:lang w:val="hr-HR"/>
        </w:rPr>
        <w:t>3. Analiza ljudskih potencijala i istraživanja organizacijske klime.............................</w:t>
      </w:r>
      <w:r w:rsidR="00B64EDD" w:rsidRPr="00EF4AAB">
        <w:rPr>
          <w:rFonts w:ascii="Arial" w:hAnsi="Arial" w:cs="Arial"/>
          <w:lang w:val="hr-HR"/>
        </w:rPr>
        <w:t>..</w:t>
      </w:r>
      <w:r w:rsidR="0092047B" w:rsidRPr="00EF4AAB">
        <w:rPr>
          <w:rFonts w:ascii="Arial" w:hAnsi="Arial" w:cs="Arial"/>
          <w:lang w:val="hr-HR"/>
        </w:rPr>
        <w:t>.7</w:t>
      </w:r>
    </w:p>
    <w:p w14:paraId="65A119B2" w14:textId="653CF448" w:rsidR="000A698F" w:rsidRPr="00EF4AAB" w:rsidRDefault="000A698F" w:rsidP="000A698F">
      <w:pPr>
        <w:rPr>
          <w:rFonts w:ascii="Arial" w:hAnsi="Arial" w:cs="Arial"/>
          <w:lang w:val="hr-HR"/>
        </w:rPr>
      </w:pPr>
      <w:r w:rsidRPr="00EF4AAB">
        <w:rPr>
          <w:rFonts w:ascii="Arial" w:hAnsi="Arial" w:cs="Arial"/>
          <w:lang w:val="hr-HR"/>
        </w:rPr>
        <w:t xml:space="preserve">4. </w:t>
      </w:r>
      <w:bookmarkStart w:id="0" w:name="_Hlk98924414"/>
      <w:r w:rsidRPr="00EF4AAB">
        <w:rPr>
          <w:rFonts w:ascii="Arial" w:hAnsi="Arial" w:cs="Arial"/>
          <w:lang w:val="hr-HR"/>
        </w:rPr>
        <w:t>Mjere Plana ravnopravnosti spolova</w:t>
      </w:r>
      <w:bookmarkEnd w:id="0"/>
      <w:r w:rsidRPr="00EF4AAB">
        <w:rPr>
          <w:rFonts w:ascii="Arial" w:hAnsi="Arial" w:cs="Arial"/>
          <w:lang w:val="hr-HR"/>
        </w:rPr>
        <w:t>.....</w:t>
      </w:r>
      <w:r w:rsidR="00A12228" w:rsidRPr="00EF4AAB">
        <w:rPr>
          <w:rFonts w:ascii="Arial" w:hAnsi="Arial" w:cs="Arial"/>
          <w:lang w:val="hr-HR"/>
        </w:rPr>
        <w:t>..</w:t>
      </w:r>
      <w:r w:rsidRPr="00EF4AAB">
        <w:rPr>
          <w:rFonts w:ascii="Arial" w:hAnsi="Arial" w:cs="Arial"/>
          <w:lang w:val="hr-HR"/>
        </w:rPr>
        <w:t>............................................</w:t>
      </w:r>
      <w:r w:rsidR="00B64EDD" w:rsidRPr="00EF4AAB">
        <w:rPr>
          <w:rFonts w:ascii="Arial" w:hAnsi="Arial" w:cs="Arial"/>
          <w:lang w:val="hr-HR"/>
        </w:rPr>
        <w:t>..........</w:t>
      </w:r>
      <w:r w:rsidR="00A12228" w:rsidRPr="00EF4AAB">
        <w:rPr>
          <w:rFonts w:ascii="Arial" w:hAnsi="Arial" w:cs="Arial"/>
          <w:lang w:val="hr-HR"/>
        </w:rPr>
        <w:t>.........</w:t>
      </w:r>
      <w:r w:rsidR="00A4211B" w:rsidRPr="00EF4AAB">
        <w:rPr>
          <w:rFonts w:ascii="Arial" w:hAnsi="Arial" w:cs="Arial"/>
          <w:lang w:val="hr-HR"/>
        </w:rPr>
        <w:t>11</w:t>
      </w:r>
    </w:p>
    <w:p w14:paraId="7063A8B0" w14:textId="77777777" w:rsidR="000A698F" w:rsidRPr="00EF4AAB" w:rsidRDefault="000A698F" w:rsidP="000A698F">
      <w:pPr>
        <w:rPr>
          <w:rFonts w:ascii="Arial" w:hAnsi="Arial" w:cs="Arial"/>
          <w:lang w:val="hr-HR"/>
        </w:rPr>
      </w:pPr>
    </w:p>
    <w:p w14:paraId="3A4B5EC6" w14:textId="77777777" w:rsidR="000A698F" w:rsidRPr="00EF4AAB" w:rsidRDefault="000A698F" w:rsidP="000A698F">
      <w:pPr>
        <w:rPr>
          <w:rFonts w:ascii="Arial" w:hAnsi="Arial" w:cs="Arial"/>
          <w:lang w:val="hr-HR"/>
        </w:rPr>
      </w:pPr>
    </w:p>
    <w:p w14:paraId="787FAF10" w14:textId="77777777" w:rsidR="000A698F" w:rsidRPr="00EF4AAB" w:rsidRDefault="000A698F" w:rsidP="000A698F">
      <w:pPr>
        <w:rPr>
          <w:rFonts w:ascii="Arial" w:hAnsi="Arial" w:cs="Arial"/>
          <w:lang w:val="hr-HR"/>
        </w:rPr>
      </w:pPr>
    </w:p>
    <w:p w14:paraId="556BF08C" w14:textId="77777777" w:rsidR="000A698F" w:rsidRPr="00EF4AAB" w:rsidRDefault="000A698F" w:rsidP="000A698F">
      <w:pPr>
        <w:rPr>
          <w:rFonts w:ascii="Arial" w:hAnsi="Arial" w:cs="Arial"/>
          <w:lang w:val="hr-HR"/>
        </w:rPr>
      </w:pPr>
    </w:p>
    <w:p w14:paraId="28F80EE4" w14:textId="77777777" w:rsidR="000A698F" w:rsidRPr="00EF4AAB" w:rsidRDefault="000A698F" w:rsidP="000A698F">
      <w:pPr>
        <w:rPr>
          <w:rFonts w:ascii="Arial" w:hAnsi="Arial" w:cs="Arial"/>
          <w:lang w:val="hr-HR"/>
        </w:rPr>
      </w:pPr>
    </w:p>
    <w:p w14:paraId="4F60071C" w14:textId="77777777" w:rsidR="000A698F" w:rsidRPr="00EF4AAB" w:rsidRDefault="000A698F" w:rsidP="000A698F">
      <w:pPr>
        <w:rPr>
          <w:rFonts w:ascii="Arial" w:hAnsi="Arial" w:cs="Arial"/>
          <w:lang w:val="hr-HR"/>
        </w:rPr>
      </w:pPr>
    </w:p>
    <w:p w14:paraId="31FDA58C" w14:textId="77777777" w:rsidR="000A698F" w:rsidRPr="00EF4AAB" w:rsidRDefault="000A698F" w:rsidP="000A698F">
      <w:pPr>
        <w:rPr>
          <w:rFonts w:ascii="Arial" w:hAnsi="Arial" w:cs="Arial"/>
          <w:lang w:val="hr-HR"/>
        </w:rPr>
      </w:pPr>
    </w:p>
    <w:p w14:paraId="6AC4C6AC" w14:textId="141D2702" w:rsidR="000A698F" w:rsidRPr="00EF4AAB" w:rsidRDefault="000A698F" w:rsidP="000A698F">
      <w:pPr>
        <w:jc w:val="both"/>
        <w:rPr>
          <w:rFonts w:ascii="Arial" w:hAnsi="Arial" w:cs="Arial"/>
          <w:i/>
          <w:iCs/>
          <w:lang w:val="hr-HR"/>
        </w:rPr>
      </w:pPr>
      <w:r w:rsidRPr="00EF4AAB">
        <w:rPr>
          <w:rFonts w:ascii="Arial" w:hAnsi="Arial" w:cs="Arial"/>
          <w:i/>
          <w:iCs/>
          <w:lang w:val="hr-HR"/>
        </w:rPr>
        <w:t xml:space="preserve">Plan ravnopravnosti spolova Agencije za mobilnost i programe Europske unije za razdoblje od 2022. do 2026. godine izradila je </w:t>
      </w:r>
      <w:r w:rsidRPr="00EF4AAB">
        <w:rPr>
          <w:rFonts w:ascii="Arial" w:hAnsi="Arial" w:cs="Arial"/>
          <w:i/>
          <w:iCs/>
          <w:color w:val="365F91" w:themeColor="accent1" w:themeShade="BF"/>
          <w:lang w:val="hr-HR"/>
        </w:rPr>
        <w:t xml:space="preserve">Radna skupina za izradu Plana ravnopravnosti spolova </w:t>
      </w:r>
      <w:r w:rsidRPr="00EF4AAB">
        <w:rPr>
          <w:rFonts w:ascii="Arial" w:hAnsi="Arial" w:cs="Arial"/>
          <w:i/>
          <w:iCs/>
          <w:lang w:val="hr-HR"/>
        </w:rPr>
        <w:t>u sastavu:</w:t>
      </w:r>
    </w:p>
    <w:p w14:paraId="1A069405"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Ivan Makovec, koordinator Radne skupine</w:t>
      </w:r>
    </w:p>
    <w:p w14:paraId="09694E13"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Ivana Puljiz, zamjenica koordinatora</w:t>
      </w:r>
    </w:p>
    <w:p w14:paraId="27E4E29B"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Marija Galović</w:t>
      </w:r>
    </w:p>
    <w:p w14:paraId="12D61486"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dr. sc. Sonja Jantar</w:t>
      </w:r>
    </w:p>
    <w:p w14:paraId="39DE25B5"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Martina Kožul Kolarić</w:t>
      </w:r>
    </w:p>
    <w:p w14:paraId="1A59601B"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Dinko Mihaljević</w:t>
      </w:r>
    </w:p>
    <w:p w14:paraId="71C8ACFE" w14:textId="77777777" w:rsidR="000A698F" w:rsidRPr="00EF4AAB" w:rsidRDefault="000A698F" w:rsidP="000A698F">
      <w:pPr>
        <w:pStyle w:val="ListParagraph"/>
        <w:numPr>
          <w:ilvl w:val="0"/>
          <w:numId w:val="7"/>
        </w:numPr>
        <w:spacing w:after="0"/>
        <w:rPr>
          <w:rFonts w:ascii="Arial" w:hAnsi="Arial" w:cs="Arial"/>
          <w:i/>
          <w:iCs/>
          <w:lang w:val="hr-HR"/>
        </w:rPr>
      </w:pPr>
      <w:r w:rsidRPr="00EF4AAB">
        <w:rPr>
          <w:rFonts w:ascii="Arial" w:hAnsi="Arial" w:cs="Arial"/>
          <w:i/>
          <w:iCs/>
          <w:lang w:val="hr-HR"/>
        </w:rPr>
        <w:t>Vesna Simonović Sodić.</w:t>
      </w:r>
    </w:p>
    <w:p w14:paraId="3AA18D87" w14:textId="77777777" w:rsidR="000A698F" w:rsidRPr="00EF4AAB" w:rsidRDefault="000A698F" w:rsidP="000A698F">
      <w:pPr>
        <w:pStyle w:val="ListParagraph"/>
        <w:spacing w:after="0"/>
        <w:rPr>
          <w:rFonts w:ascii="Arial" w:hAnsi="Arial" w:cs="Arial"/>
          <w:i/>
          <w:iCs/>
          <w:lang w:val="hr-HR"/>
        </w:rPr>
      </w:pPr>
    </w:p>
    <w:p w14:paraId="62BF3441" w14:textId="2FE9DC85" w:rsidR="000A698F" w:rsidRPr="00EF4AAB" w:rsidRDefault="000A698F" w:rsidP="000A698F">
      <w:pPr>
        <w:jc w:val="both"/>
        <w:rPr>
          <w:rFonts w:ascii="Arial" w:hAnsi="Arial" w:cs="Arial"/>
          <w:i/>
          <w:iCs/>
          <w:lang w:val="hr-HR"/>
        </w:rPr>
      </w:pPr>
      <w:r w:rsidRPr="00EF4AAB">
        <w:rPr>
          <w:rFonts w:ascii="Arial" w:hAnsi="Arial" w:cs="Arial"/>
          <w:i/>
          <w:iCs/>
          <w:lang w:val="hr-HR"/>
        </w:rPr>
        <w:t xml:space="preserve">Pri razvoju Plana ravnopravnosti spolova korišten je priručnik Europskoga instituta za ravnopravnost spolova (EIGE) </w:t>
      </w:r>
      <w:hyperlink r:id="rId11" w:history="1">
        <w:r w:rsidRPr="00EF4AAB">
          <w:rPr>
            <w:rStyle w:val="Hyperlink"/>
            <w:rFonts w:ascii="Arial" w:hAnsi="Arial" w:cs="Arial"/>
            <w:i/>
            <w:iCs/>
            <w:lang w:val="hr-HR"/>
          </w:rPr>
          <w:t xml:space="preserve">Gender Equality in Academia and Research </w:t>
        </w:r>
        <w:r w:rsidR="00931EAF" w:rsidRPr="00E800F9">
          <w:rPr>
            <w:lang w:val="hr-HR"/>
          </w:rPr>
          <w:t>–</w:t>
        </w:r>
        <w:r w:rsidRPr="00EF4AAB">
          <w:rPr>
            <w:rStyle w:val="Hyperlink"/>
            <w:rFonts w:ascii="Arial" w:hAnsi="Arial" w:cs="Arial"/>
            <w:i/>
            <w:iCs/>
            <w:lang w:val="hr-HR"/>
          </w:rPr>
          <w:t xml:space="preserve"> GEAR tool</w:t>
        </w:r>
      </w:hyperlink>
      <w:r w:rsidRPr="00EF4AAB">
        <w:rPr>
          <w:rFonts w:ascii="Arial" w:hAnsi="Arial" w:cs="Arial"/>
          <w:i/>
          <w:iCs/>
          <w:lang w:val="hr-HR"/>
        </w:rPr>
        <w:t xml:space="preserve"> te brojni relevantni propisi, strategije i stručni izvori, a posebno dokumenti dostupni na stranicama </w:t>
      </w:r>
      <w:hyperlink r:id="rId12" w:history="1">
        <w:r w:rsidRPr="00EF4AAB">
          <w:rPr>
            <w:rStyle w:val="Hyperlink"/>
            <w:rFonts w:ascii="Arial" w:hAnsi="Arial" w:cs="Arial"/>
            <w:i/>
            <w:iCs/>
            <w:lang w:val="hr-HR"/>
          </w:rPr>
          <w:t>Ureda pravobraniteljice za ravnopravnost spolova</w:t>
        </w:r>
      </w:hyperlink>
      <w:r w:rsidRPr="00EF4AAB">
        <w:rPr>
          <w:rFonts w:ascii="Arial" w:hAnsi="Arial" w:cs="Arial"/>
          <w:i/>
          <w:iCs/>
          <w:lang w:val="hr-HR"/>
        </w:rPr>
        <w:t>.</w:t>
      </w:r>
    </w:p>
    <w:p w14:paraId="314DEB04" w14:textId="2A6D74CB" w:rsidR="00AC095F" w:rsidRPr="00EF4AAB" w:rsidRDefault="000A698F" w:rsidP="000A698F">
      <w:pPr>
        <w:rPr>
          <w:rFonts w:ascii="Arial" w:hAnsi="Arial" w:cs="Arial"/>
          <w:i/>
          <w:iCs/>
          <w:lang w:val="hr-HR"/>
        </w:rPr>
      </w:pPr>
      <w:bookmarkStart w:id="1" w:name="_Hlk97915604"/>
      <w:r w:rsidRPr="00EF4AAB">
        <w:rPr>
          <w:rFonts w:ascii="Arial" w:hAnsi="Arial" w:cs="Arial"/>
          <w:i/>
          <w:iCs/>
          <w:lang w:val="hr-HR"/>
        </w:rPr>
        <w:t>Izrazi koji se koriste u ovome Planu, a imaju rodno značenje odnose se jednako na muški i ženski rod.</w:t>
      </w:r>
      <w:bookmarkEnd w:id="1"/>
    </w:p>
    <w:p w14:paraId="619EDA6E" w14:textId="2C6760DC" w:rsidR="000A698F" w:rsidRPr="00EF4AAB" w:rsidRDefault="00AC095F" w:rsidP="000A698F">
      <w:pPr>
        <w:rPr>
          <w:rFonts w:ascii="Arial" w:hAnsi="Arial" w:cs="Arial"/>
          <w:lang w:val="hr-HR"/>
        </w:rPr>
      </w:pPr>
      <w:r w:rsidRPr="00EF4AAB">
        <w:rPr>
          <w:rFonts w:ascii="Arial" w:hAnsi="Arial" w:cs="Arial"/>
          <w:lang w:val="hr-HR"/>
        </w:rPr>
        <w:br w:type="page"/>
      </w:r>
    </w:p>
    <w:p w14:paraId="0318DD1C" w14:textId="5F5B33BA" w:rsidR="000A698F" w:rsidRPr="00EF4AAB" w:rsidRDefault="000A698F" w:rsidP="00AC095F">
      <w:pPr>
        <w:pStyle w:val="Heading2"/>
        <w:spacing w:before="0" w:after="120"/>
        <w:rPr>
          <w:rFonts w:ascii="Arial" w:hAnsi="Arial" w:cs="Arial"/>
          <w:lang w:val="hr-HR"/>
        </w:rPr>
      </w:pPr>
      <w:r w:rsidRPr="00EF4AAB">
        <w:rPr>
          <w:rFonts w:ascii="Arial" w:hAnsi="Arial" w:cs="Arial"/>
          <w:lang w:val="hr-HR"/>
        </w:rPr>
        <w:lastRenderedPageBreak/>
        <w:t>1. Zakonodavni, strateški i programski okvir</w:t>
      </w:r>
    </w:p>
    <w:p w14:paraId="6BE72461" w14:textId="568141B0" w:rsidR="000A698F" w:rsidRPr="00EF4AAB" w:rsidRDefault="000A698F" w:rsidP="00A12228">
      <w:pPr>
        <w:spacing w:after="120" w:line="276" w:lineRule="auto"/>
        <w:jc w:val="both"/>
        <w:rPr>
          <w:rFonts w:ascii="Arial" w:hAnsi="Arial" w:cs="Arial"/>
          <w:lang w:val="hr-HR"/>
        </w:rPr>
      </w:pPr>
      <w:r w:rsidRPr="00EF4AAB">
        <w:rPr>
          <w:rFonts w:ascii="Arial" w:hAnsi="Arial" w:cs="Arial"/>
          <w:b/>
          <w:bCs/>
          <w:lang w:val="hr-HR"/>
        </w:rPr>
        <w:t>Ravnopravnost spolova</w:t>
      </w:r>
      <w:r w:rsidR="004F1A8B" w:rsidRPr="00EF4AAB">
        <w:rPr>
          <w:rFonts w:ascii="Arial" w:hAnsi="Arial" w:cs="Arial"/>
          <w:b/>
          <w:bCs/>
          <w:lang w:val="hr-HR"/>
        </w:rPr>
        <w:t xml:space="preserve"> </w:t>
      </w:r>
      <w:r w:rsidR="004F1A8B" w:rsidRPr="00EF4AAB">
        <w:rPr>
          <w:rFonts w:ascii="Arial" w:hAnsi="Arial" w:cs="Arial"/>
          <w:lang w:val="hr-HR"/>
        </w:rPr>
        <w:t>jedna je od</w:t>
      </w:r>
      <w:r w:rsidRPr="00EF4AAB">
        <w:rPr>
          <w:rFonts w:ascii="Arial" w:hAnsi="Arial" w:cs="Arial"/>
          <w:lang w:val="hr-HR"/>
        </w:rPr>
        <w:t xml:space="preserve"> temeljn</w:t>
      </w:r>
      <w:r w:rsidR="004F1A8B" w:rsidRPr="00EF4AAB">
        <w:rPr>
          <w:rFonts w:ascii="Arial" w:hAnsi="Arial" w:cs="Arial"/>
          <w:lang w:val="hr-HR"/>
        </w:rPr>
        <w:t>ih</w:t>
      </w:r>
      <w:r w:rsidRPr="00EF4AAB">
        <w:rPr>
          <w:rFonts w:ascii="Arial" w:hAnsi="Arial" w:cs="Arial"/>
          <w:lang w:val="hr-HR"/>
        </w:rPr>
        <w:t xml:space="preserve"> </w:t>
      </w:r>
      <w:r w:rsidRPr="00EF4AAB">
        <w:rPr>
          <w:rFonts w:ascii="Arial" w:hAnsi="Arial" w:cs="Arial"/>
          <w:b/>
          <w:bCs/>
          <w:lang w:val="hr-HR"/>
        </w:rPr>
        <w:t>ustavn</w:t>
      </w:r>
      <w:r w:rsidR="004F1A8B" w:rsidRPr="00EF4AAB">
        <w:rPr>
          <w:rFonts w:ascii="Arial" w:hAnsi="Arial" w:cs="Arial"/>
          <w:b/>
          <w:bCs/>
          <w:lang w:val="hr-HR"/>
        </w:rPr>
        <w:t>ih</w:t>
      </w:r>
      <w:r w:rsidRPr="00EF4AAB">
        <w:rPr>
          <w:rFonts w:ascii="Arial" w:hAnsi="Arial" w:cs="Arial"/>
          <w:lang w:val="hr-HR"/>
        </w:rPr>
        <w:t xml:space="preserve"> </w:t>
      </w:r>
      <w:r w:rsidRPr="00EF4AAB">
        <w:rPr>
          <w:rFonts w:ascii="Arial" w:hAnsi="Arial" w:cs="Arial"/>
          <w:b/>
          <w:bCs/>
          <w:lang w:val="hr-HR"/>
        </w:rPr>
        <w:t xml:space="preserve">vrednota </w:t>
      </w:r>
      <w:r w:rsidRPr="00EF4AAB">
        <w:rPr>
          <w:rFonts w:ascii="Arial" w:hAnsi="Arial" w:cs="Arial"/>
          <w:b/>
          <w:bCs/>
          <w:i/>
          <w:iCs/>
          <w:lang w:val="hr-HR"/>
        </w:rPr>
        <w:t>Ustava Republike Hrvatske</w:t>
      </w:r>
      <w:r w:rsidRPr="00EF4AAB">
        <w:rPr>
          <w:rFonts w:ascii="Arial" w:hAnsi="Arial" w:cs="Arial"/>
          <w:i/>
          <w:iCs/>
          <w:lang w:val="hr-HR"/>
        </w:rPr>
        <w:t xml:space="preserve"> </w:t>
      </w:r>
      <w:r w:rsidR="00FC178F" w:rsidRPr="00EF4AAB">
        <w:rPr>
          <w:rFonts w:ascii="Arial" w:hAnsi="Arial" w:cs="Arial"/>
          <w:lang w:val="hr-HR"/>
        </w:rPr>
        <w:t xml:space="preserve">(NN </w:t>
      </w:r>
      <w:r w:rsidR="006157F6" w:rsidRPr="00EF4AAB">
        <w:rPr>
          <w:rFonts w:ascii="Arial" w:hAnsi="Arial" w:cs="Arial"/>
          <w:lang w:val="hr-HR"/>
        </w:rPr>
        <w:t>85/10</w:t>
      </w:r>
      <w:r w:rsidR="00FC178F" w:rsidRPr="00EF4AAB">
        <w:rPr>
          <w:rFonts w:ascii="Arial" w:hAnsi="Arial" w:cs="Arial"/>
          <w:lang w:val="hr-HR"/>
        </w:rPr>
        <w:t xml:space="preserve">) </w:t>
      </w:r>
      <w:r w:rsidRPr="00EF4AAB">
        <w:rPr>
          <w:rFonts w:ascii="Arial" w:hAnsi="Arial" w:cs="Arial"/>
          <w:lang w:val="hr-HR"/>
        </w:rPr>
        <w:t xml:space="preserve">te </w:t>
      </w:r>
      <w:r w:rsidR="00931EAF">
        <w:rPr>
          <w:rFonts w:ascii="Arial" w:hAnsi="Arial" w:cs="Arial"/>
          <w:lang w:val="hr-HR"/>
        </w:rPr>
        <w:t xml:space="preserve">je </w:t>
      </w:r>
      <w:r w:rsidRPr="00EF4AAB">
        <w:rPr>
          <w:rFonts w:ascii="Arial" w:hAnsi="Arial" w:cs="Arial"/>
          <w:lang w:val="hr-HR"/>
        </w:rPr>
        <w:t>kao takva iskazana u članku 3</w:t>
      </w:r>
      <w:r w:rsidR="00931EAF">
        <w:rPr>
          <w:rFonts w:ascii="Arial" w:hAnsi="Arial" w:cs="Arial"/>
          <w:lang w:val="hr-HR"/>
        </w:rPr>
        <w:t>.</w:t>
      </w:r>
      <w:r w:rsidRPr="00EF4AAB">
        <w:rPr>
          <w:rFonts w:ascii="Arial" w:hAnsi="Arial" w:cs="Arial"/>
          <w:lang w:val="hr-HR"/>
        </w:rPr>
        <w:t xml:space="preserve">: </w:t>
      </w:r>
      <w:r w:rsidR="00FC178F" w:rsidRPr="00EF4AAB">
        <w:rPr>
          <w:rFonts w:ascii="Arial" w:hAnsi="Arial" w:cs="Arial"/>
          <w:lang w:val="hr-HR"/>
        </w:rPr>
        <w:t>„</w:t>
      </w:r>
      <w:r w:rsidR="004F1A8B" w:rsidRPr="00EF4AAB">
        <w:rPr>
          <w:rFonts w:ascii="Arial" w:hAnsi="Arial" w:cs="Arial"/>
          <w:lang w:val="hr-HR"/>
        </w:rPr>
        <w:t>Sloboda, jednakost, nacionalna ravnopravnost i ravnopravnost spolova, mirotvorstvo, socijalna pravda, poštivanje prava čovjeka, nepovredivost vlasništva, očuvanje prirode i čovjekova okoliša, vladavina prava i demokratski višestranački sustav najviše su vrednote ustavnog poretka Republike Hrvatske i temelj za tumačenje Ustava</w:t>
      </w:r>
      <w:r w:rsidR="00FC178F" w:rsidRPr="00EF4AAB">
        <w:rPr>
          <w:rFonts w:ascii="Arial" w:hAnsi="Arial" w:cs="Arial"/>
          <w:lang w:val="hr-HR"/>
        </w:rPr>
        <w:t>“</w:t>
      </w:r>
      <w:r w:rsidR="004F1A8B" w:rsidRPr="00EF4AAB">
        <w:rPr>
          <w:rFonts w:ascii="Arial" w:hAnsi="Arial" w:cs="Arial"/>
          <w:lang w:val="hr-HR"/>
        </w:rPr>
        <w:t xml:space="preserve">. </w:t>
      </w:r>
      <w:r w:rsidRPr="00EF4AAB">
        <w:rPr>
          <w:rFonts w:ascii="Arial" w:hAnsi="Arial" w:cs="Arial"/>
          <w:lang w:val="hr-HR"/>
        </w:rPr>
        <w:t xml:space="preserve">Ustav RH </w:t>
      </w:r>
      <w:r w:rsidR="00FC178F" w:rsidRPr="00EF4AAB">
        <w:rPr>
          <w:rFonts w:ascii="Arial" w:hAnsi="Arial" w:cs="Arial"/>
          <w:lang w:val="hr-HR"/>
        </w:rPr>
        <w:t>u članku 14</w:t>
      </w:r>
      <w:r w:rsidR="00BF5ABA">
        <w:rPr>
          <w:rFonts w:ascii="Arial" w:hAnsi="Arial" w:cs="Arial"/>
          <w:lang w:val="hr-HR"/>
        </w:rPr>
        <w:t>.</w:t>
      </w:r>
      <w:r w:rsidR="00FC178F" w:rsidRPr="00EF4AAB">
        <w:rPr>
          <w:rFonts w:ascii="Arial" w:hAnsi="Arial" w:cs="Arial"/>
          <w:lang w:val="hr-HR"/>
        </w:rPr>
        <w:t xml:space="preserve"> </w:t>
      </w:r>
      <w:r w:rsidRPr="00EF4AAB">
        <w:rPr>
          <w:rFonts w:ascii="Arial" w:hAnsi="Arial" w:cs="Arial"/>
          <w:lang w:val="hr-HR"/>
        </w:rPr>
        <w:t>jamči svakome u Republici Hrvatskoj</w:t>
      </w:r>
      <w:bookmarkStart w:id="2" w:name="_Hlk97712834"/>
      <w:r w:rsidRPr="00EF4AAB">
        <w:rPr>
          <w:rFonts w:ascii="Arial" w:hAnsi="Arial" w:cs="Arial"/>
          <w:lang w:val="hr-HR"/>
        </w:rPr>
        <w:t xml:space="preserve"> „prava i slobode, neovisno o njegovoj rasi, boji kože, spolu, jeziku, vjeri, političkom ili drugom uvjerenju, nacionalnom ili socijalnom podrijetlu, imovini, rođenju, naobrazbi, društvenom položaju ili drugim osobinama.“</w:t>
      </w:r>
      <w:bookmarkEnd w:id="2"/>
      <w:r w:rsidRPr="00EF4AAB">
        <w:rPr>
          <w:rFonts w:ascii="Arial" w:hAnsi="Arial" w:cs="Arial"/>
          <w:lang w:val="hr-HR"/>
        </w:rPr>
        <w:t xml:space="preserve"> </w:t>
      </w:r>
    </w:p>
    <w:p w14:paraId="1D6B99B3" w14:textId="051FC366" w:rsidR="000A698F" w:rsidRPr="00EF4AAB" w:rsidRDefault="000A698F" w:rsidP="00A12228">
      <w:pPr>
        <w:spacing w:after="120" w:line="276" w:lineRule="auto"/>
        <w:jc w:val="both"/>
        <w:rPr>
          <w:rFonts w:ascii="Arial" w:hAnsi="Arial" w:cs="Arial"/>
          <w:lang w:val="hr-HR"/>
        </w:rPr>
      </w:pPr>
      <w:r w:rsidRPr="00EF4AAB">
        <w:rPr>
          <w:rFonts w:ascii="Arial" w:hAnsi="Arial" w:cs="Arial"/>
          <w:lang w:val="hr-HR"/>
        </w:rPr>
        <w:t xml:space="preserve">U hrvatskome je pravnom okviru, osim na ustavnoj razini, zaštita i promicanje jednakosti kao najviše vrednote ustavnoga poretka – odnosno povezana zabrana diskriminacije – uređena nizom zakona: </w:t>
      </w:r>
      <w:r w:rsidRPr="00EF4AAB">
        <w:rPr>
          <w:rFonts w:ascii="Arial" w:hAnsi="Arial" w:cs="Arial"/>
          <w:i/>
          <w:iCs/>
          <w:lang w:val="hr-HR"/>
        </w:rPr>
        <w:t>Zakonom o suzbijanju diskriminacije</w:t>
      </w:r>
      <w:r w:rsidR="00FC178F" w:rsidRPr="00EF4AAB">
        <w:rPr>
          <w:rFonts w:ascii="Arial" w:hAnsi="Arial" w:cs="Arial"/>
          <w:i/>
          <w:iCs/>
          <w:lang w:val="hr-HR"/>
        </w:rPr>
        <w:t xml:space="preserve"> </w:t>
      </w:r>
      <w:r w:rsidR="00FC178F" w:rsidRPr="00EF4AAB">
        <w:rPr>
          <w:rFonts w:ascii="Arial" w:hAnsi="Arial" w:cs="Arial"/>
          <w:lang w:val="hr-HR"/>
        </w:rPr>
        <w:t xml:space="preserve">(NN </w:t>
      </w:r>
      <w:r w:rsidR="006157F6" w:rsidRPr="00EF4AAB">
        <w:rPr>
          <w:rFonts w:ascii="Arial" w:hAnsi="Arial" w:cs="Arial"/>
          <w:lang w:val="hr-HR"/>
        </w:rPr>
        <w:t>85/08</w:t>
      </w:r>
      <w:r w:rsidR="00D90D8E" w:rsidRPr="00EF4AAB">
        <w:rPr>
          <w:rFonts w:ascii="Arial" w:hAnsi="Arial" w:cs="Arial"/>
          <w:lang w:val="hr-HR"/>
        </w:rPr>
        <w:t>, 112/12</w:t>
      </w:r>
      <w:r w:rsidR="00FC178F" w:rsidRPr="00EF4AAB">
        <w:rPr>
          <w:rFonts w:ascii="Arial" w:hAnsi="Arial" w:cs="Arial"/>
          <w:lang w:val="hr-HR"/>
        </w:rPr>
        <w:t>)</w:t>
      </w:r>
      <w:r w:rsidRPr="00EF4AAB">
        <w:rPr>
          <w:rFonts w:ascii="Arial" w:hAnsi="Arial" w:cs="Arial"/>
          <w:lang w:val="hr-HR"/>
        </w:rPr>
        <w:t xml:space="preserve">, </w:t>
      </w:r>
      <w:r w:rsidRPr="00EF4AAB">
        <w:rPr>
          <w:rFonts w:ascii="Arial" w:hAnsi="Arial" w:cs="Arial"/>
          <w:i/>
          <w:iCs/>
          <w:lang w:val="hr-HR"/>
        </w:rPr>
        <w:t>Zakonom o ravnopravnosti spolova</w:t>
      </w:r>
      <w:r w:rsidR="00FC178F" w:rsidRPr="00EF4AAB">
        <w:rPr>
          <w:rFonts w:ascii="Arial" w:hAnsi="Arial" w:cs="Arial"/>
          <w:i/>
          <w:iCs/>
          <w:lang w:val="hr-HR"/>
        </w:rPr>
        <w:t xml:space="preserve"> </w:t>
      </w:r>
      <w:r w:rsidR="00FC178F" w:rsidRPr="00EF4AAB">
        <w:rPr>
          <w:rFonts w:ascii="Arial" w:hAnsi="Arial" w:cs="Arial"/>
          <w:lang w:val="hr-HR"/>
        </w:rPr>
        <w:t xml:space="preserve">(NN </w:t>
      </w:r>
      <w:r w:rsidR="00D90D8E" w:rsidRPr="00EF4AAB">
        <w:rPr>
          <w:rFonts w:ascii="Arial" w:hAnsi="Arial" w:cs="Arial"/>
          <w:lang w:val="hr-HR"/>
        </w:rPr>
        <w:t>82/08, 69/17</w:t>
      </w:r>
      <w:r w:rsidR="00FC178F" w:rsidRPr="00EF4AAB">
        <w:rPr>
          <w:rFonts w:ascii="Arial" w:hAnsi="Arial" w:cs="Arial"/>
          <w:lang w:val="hr-HR"/>
        </w:rPr>
        <w:t>)</w:t>
      </w:r>
      <w:r w:rsidRPr="00EF4AAB">
        <w:rPr>
          <w:rFonts w:ascii="Arial" w:hAnsi="Arial" w:cs="Arial"/>
          <w:lang w:val="hr-HR"/>
        </w:rPr>
        <w:t xml:space="preserve"> te </w:t>
      </w:r>
      <w:r w:rsidRPr="00EF4AAB">
        <w:rPr>
          <w:rFonts w:ascii="Arial" w:hAnsi="Arial" w:cs="Arial"/>
          <w:i/>
          <w:iCs/>
          <w:lang w:val="hr-HR"/>
        </w:rPr>
        <w:t>Zakonom o radu</w:t>
      </w:r>
      <w:r w:rsidR="00EE2F36" w:rsidRPr="00EF4AAB">
        <w:rPr>
          <w:rFonts w:ascii="Arial" w:hAnsi="Arial" w:cs="Arial"/>
          <w:i/>
          <w:iCs/>
          <w:lang w:val="hr-HR"/>
        </w:rPr>
        <w:t xml:space="preserve"> </w:t>
      </w:r>
      <w:r w:rsidR="00D93940" w:rsidRPr="00EF4AAB">
        <w:rPr>
          <w:rFonts w:ascii="Arial" w:hAnsi="Arial" w:cs="Arial"/>
          <w:lang w:val="hr-HR"/>
        </w:rPr>
        <w:t>(NN 93/14, 127/17, 98/19</w:t>
      </w:r>
      <w:r w:rsidR="00EE2F36" w:rsidRPr="00EF4AAB">
        <w:rPr>
          <w:rFonts w:ascii="Arial" w:hAnsi="Arial" w:cs="Arial"/>
          <w:lang w:val="hr-HR"/>
        </w:rPr>
        <w:t>)</w:t>
      </w:r>
      <w:r w:rsidRPr="00EF4AAB">
        <w:rPr>
          <w:rFonts w:ascii="Arial" w:hAnsi="Arial" w:cs="Arial"/>
          <w:lang w:val="hr-HR"/>
        </w:rPr>
        <w:t xml:space="preserve">. Relevantne odredbe spomenutih propisa prenesene su i u institucionalne akte Agencije za mobilnost i programe Europske unije, i to u </w:t>
      </w:r>
      <w:r w:rsidR="006A76A0" w:rsidRPr="00EF4AAB">
        <w:rPr>
          <w:rFonts w:ascii="Arial" w:hAnsi="Arial" w:cs="Arial"/>
          <w:lang w:val="hr-HR"/>
        </w:rPr>
        <w:t>relevantne</w:t>
      </w:r>
      <w:r w:rsidRPr="00EF4AAB">
        <w:rPr>
          <w:rFonts w:ascii="Arial" w:hAnsi="Arial" w:cs="Arial"/>
          <w:lang w:val="hr-HR"/>
        </w:rPr>
        <w:t xml:space="preserve"> pravilnike i Etički kodeks Agencije.</w:t>
      </w:r>
    </w:p>
    <w:p w14:paraId="43F42731" w14:textId="5CF8E3B6" w:rsidR="000A698F" w:rsidRPr="00EF4AAB" w:rsidRDefault="000A698F" w:rsidP="00A12228">
      <w:pPr>
        <w:spacing w:after="120" w:line="276" w:lineRule="auto"/>
        <w:jc w:val="both"/>
        <w:rPr>
          <w:rFonts w:ascii="Arial" w:hAnsi="Arial" w:cs="Arial"/>
          <w:lang w:val="hr-HR"/>
        </w:rPr>
      </w:pPr>
      <w:r w:rsidRPr="00EF4AAB">
        <w:rPr>
          <w:rFonts w:ascii="Arial" w:hAnsi="Arial" w:cs="Arial"/>
          <w:lang w:val="hr-HR"/>
        </w:rPr>
        <w:t>U svrhu očuvanja i dalj</w:t>
      </w:r>
      <w:r w:rsidR="007844AE">
        <w:rPr>
          <w:rFonts w:ascii="Arial" w:hAnsi="Arial" w:cs="Arial"/>
          <w:lang w:val="hr-HR"/>
        </w:rPr>
        <w:t>nj</w:t>
      </w:r>
      <w:r w:rsidRPr="00EF4AAB">
        <w:rPr>
          <w:rFonts w:ascii="Arial" w:hAnsi="Arial" w:cs="Arial"/>
          <w:lang w:val="hr-HR"/>
        </w:rPr>
        <w:t>eg razvoja ovih ustavnih vrednota</w:t>
      </w:r>
      <w:r w:rsidR="00931EAF">
        <w:rPr>
          <w:rFonts w:ascii="Arial" w:hAnsi="Arial" w:cs="Arial"/>
          <w:lang w:val="hr-HR"/>
        </w:rPr>
        <w:t>,</w:t>
      </w:r>
      <w:r w:rsidRPr="00EF4AAB">
        <w:rPr>
          <w:rFonts w:ascii="Arial" w:hAnsi="Arial" w:cs="Arial"/>
          <w:lang w:val="hr-HR"/>
        </w:rPr>
        <w:t xml:space="preserve"> Republika Hrvatska uspostavila je </w:t>
      </w:r>
      <w:r w:rsidR="006A76A0" w:rsidRPr="00EF4AAB">
        <w:rPr>
          <w:rFonts w:ascii="Arial" w:hAnsi="Arial" w:cs="Arial"/>
          <w:lang w:val="hr-HR"/>
        </w:rPr>
        <w:t>više nadležnih</w:t>
      </w:r>
      <w:r w:rsidRPr="00EF4AAB">
        <w:rPr>
          <w:rFonts w:ascii="Arial" w:hAnsi="Arial" w:cs="Arial"/>
          <w:lang w:val="hr-HR"/>
        </w:rPr>
        <w:t xml:space="preserve"> institucija koje svojim djelovanjem skrbe o poštivanju predmetnih propisa, ali </w:t>
      </w:r>
      <w:r w:rsidR="006A76A0" w:rsidRPr="00EF4AAB">
        <w:rPr>
          <w:rFonts w:ascii="Arial" w:hAnsi="Arial" w:cs="Arial"/>
          <w:lang w:val="hr-HR"/>
        </w:rPr>
        <w:t xml:space="preserve">i </w:t>
      </w:r>
      <w:r w:rsidRPr="00EF4AAB">
        <w:rPr>
          <w:rFonts w:ascii="Arial" w:hAnsi="Arial" w:cs="Arial"/>
          <w:lang w:val="hr-HR"/>
        </w:rPr>
        <w:t>dalj</w:t>
      </w:r>
      <w:r w:rsidR="007844AE">
        <w:rPr>
          <w:rFonts w:ascii="Arial" w:hAnsi="Arial" w:cs="Arial"/>
          <w:lang w:val="hr-HR"/>
        </w:rPr>
        <w:t>nj</w:t>
      </w:r>
      <w:r w:rsidRPr="00EF4AAB">
        <w:rPr>
          <w:rFonts w:ascii="Arial" w:hAnsi="Arial" w:cs="Arial"/>
          <w:lang w:val="hr-HR"/>
        </w:rPr>
        <w:t xml:space="preserve">em snaženju zakonodavnih i institucionalnih okvira vezanih </w:t>
      </w:r>
      <w:r w:rsidR="00BF5ABA">
        <w:rPr>
          <w:rFonts w:ascii="Arial" w:hAnsi="Arial" w:cs="Arial"/>
          <w:lang w:val="hr-HR"/>
        </w:rPr>
        <w:t>za</w:t>
      </w:r>
      <w:r w:rsidRPr="00EF4AAB">
        <w:rPr>
          <w:rFonts w:ascii="Arial" w:hAnsi="Arial" w:cs="Arial"/>
          <w:lang w:val="hr-HR"/>
        </w:rPr>
        <w:t xml:space="preserve"> ravnopravnost spolova. </w:t>
      </w:r>
      <w:r w:rsidRPr="00E800F9">
        <w:rPr>
          <w:rFonts w:ascii="Arial" w:hAnsi="Arial" w:cs="Arial"/>
          <w:lang w:val="hr-HR"/>
        </w:rPr>
        <w:t xml:space="preserve">Krovne su institucije </w:t>
      </w:r>
      <w:r w:rsidR="00E767CE" w:rsidRPr="00E800F9">
        <w:rPr>
          <w:rFonts w:ascii="Arial" w:hAnsi="Arial" w:cs="Arial"/>
          <w:lang w:val="hr-HR"/>
        </w:rPr>
        <w:t>nadležne</w:t>
      </w:r>
      <w:r w:rsidRPr="00E800F9">
        <w:rPr>
          <w:rFonts w:ascii="Arial" w:hAnsi="Arial" w:cs="Arial"/>
          <w:lang w:val="hr-HR"/>
        </w:rPr>
        <w:t xml:space="preserve"> </w:t>
      </w:r>
      <w:r w:rsidR="00AB669E" w:rsidRPr="00E800F9">
        <w:rPr>
          <w:rFonts w:ascii="Arial" w:hAnsi="Arial" w:cs="Arial"/>
          <w:lang w:val="hr-HR"/>
        </w:rPr>
        <w:t>za</w:t>
      </w:r>
      <w:r w:rsidRPr="00E800F9">
        <w:rPr>
          <w:rFonts w:ascii="Arial" w:hAnsi="Arial" w:cs="Arial"/>
          <w:lang w:val="hr-HR"/>
        </w:rPr>
        <w:t xml:space="preserve"> ravnopravnost </w:t>
      </w:r>
      <w:r w:rsidRPr="00EF4AAB">
        <w:rPr>
          <w:rFonts w:ascii="Arial" w:hAnsi="Arial" w:cs="Arial"/>
          <w:lang w:val="hr-HR"/>
        </w:rPr>
        <w:t>spolova Odbor za ravnopravnost spolova Hrvatskoga sabora, Ured za ravnopravnost spolova Vlade RH, pravobraniteljica za ravnopravnost spolova te koordinatori i povjerenstva za ravnopravnost spolova u tijelima državne uprave i regionalne samouprave.</w:t>
      </w:r>
    </w:p>
    <w:p w14:paraId="0890615D" w14:textId="66497200" w:rsidR="000A698F" w:rsidRPr="00EF4AAB" w:rsidRDefault="000A698F" w:rsidP="00A12228">
      <w:pPr>
        <w:spacing w:after="120" w:line="276" w:lineRule="auto"/>
        <w:jc w:val="both"/>
        <w:rPr>
          <w:rFonts w:ascii="Arial" w:hAnsi="Arial" w:cs="Arial"/>
          <w:lang w:val="hr-HR"/>
        </w:rPr>
      </w:pPr>
      <w:r w:rsidRPr="00EF4AAB">
        <w:rPr>
          <w:rFonts w:ascii="Arial" w:hAnsi="Arial" w:cs="Arial"/>
          <w:lang w:val="hr-HR"/>
        </w:rPr>
        <w:t xml:space="preserve">Nadalje, </w:t>
      </w:r>
      <w:r w:rsidRPr="00EF4AAB">
        <w:rPr>
          <w:rFonts w:ascii="Arial" w:hAnsi="Arial" w:cs="Arial"/>
          <w:b/>
          <w:bCs/>
          <w:lang w:val="hr-HR"/>
        </w:rPr>
        <w:t>jednakost muškaraca i žena temeljno je načelo pravnoga poretka Europske unije</w:t>
      </w:r>
      <w:r w:rsidRPr="00EF4AAB">
        <w:rPr>
          <w:rFonts w:ascii="Arial" w:hAnsi="Arial" w:cs="Arial"/>
          <w:lang w:val="hr-HR"/>
        </w:rPr>
        <w:t xml:space="preserve"> koje se primjenjuje na sve aspekte života u društvu, poglavito se fokusirajući na svijet rada. Ovo je načelo utkano u temeljne propise pravnih prethodnica Unije. Tako Europska ekonomska zajednica</w:t>
      </w:r>
      <w:r w:rsidRPr="00EF4AAB">
        <w:rPr>
          <w:rFonts w:ascii="Arial" w:hAnsi="Arial" w:cs="Arial"/>
          <w:i/>
          <w:iCs/>
          <w:lang w:val="hr-HR"/>
        </w:rPr>
        <w:t xml:space="preserve"> Ugovorom iz Rima</w:t>
      </w:r>
      <w:r w:rsidRPr="00EF4AAB">
        <w:rPr>
          <w:rFonts w:ascii="Arial" w:hAnsi="Arial" w:cs="Arial"/>
          <w:lang w:val="hr-HR"/>
        </w:rPr>
        <w:t xml:space="preserve"> iz 1957. godine propisuje načelo isplate jednake plaće za obavljanje istih poslova muškarcima i ženama </w:t>
      </w:r>
      <w:r w:rsidR="006A76A0" w:rsidRPr="00EF4AAB">
        <w:rPr>
          <w:rFonts w:ascii="Arial" w:hAnsi="Arial" w:cs="Arial"/>
          <w:lang w:val="hr-HR"/>
        </w:rPr>
        <w:t>uvodeći</w:t>
      </w:r>
      <w:r w:rsidRPr="00EF4AAB">
        <w:rPr>
          <w:rFonts w:ascii="Arial" w:hAnsi="Arial" w:cs="Arial"/>
          <w:lang w:val="hr-HR"/>
        </w:rPr>
        <w:t xml:space="preserve"> usklađen pravni okvir na ovu temu za svojih šest država članica</w:t>
      </w:r>
      <w:r w:rsidR="004F1A8B" w:rsidRPr="00EF4AAB">
        <w:rPr>
          <w:lang w:val="hr-HR"/>
        </w:rPr>
        <w:t xml:space="preserve"> </w:t>
      </w:r>
      <w:r w:rsidR="004F1A8B" w:rsidRPr="00EF4AAB">
        <w:rPr>
          <w:rFonts w:ascii="Arial" w:hAnsi="Arial" w:cs="Arial"/>
          <w:lang w:val="hr-HR"/>
        </w:rPr>
        <w:t>(Belgija, Francuska, Italija, Luksemburg, Nizozemska i Njemačka)</w:t>
      </w:r>
      <w:r w:rsidR="00AC095F" w:rsidRPr="00EF4AAB">
        <w:rPr>
          <w:rFonts w:ascii="Arial" w:hAnsi="Arial" w:cs="Arial"/>
          <w:lang w:val="hr-HR"/>
        </w:rPr>
        <w:t>.</w:t>
      </w:r>
    </w:p>
    <w:p w14:paraId="25F3E91B" w14:textId="457D9BD8" w:rsidR="000A698F" w:rsidRPr="00EF4AAB" w:rsidRDefault="000A698F" w:rsidP="00A12228">
      <w:pPr>
        <w:spacing w:after="120" w:line="276" w:lineRule="auto"/>
        <w:jc w:val="both"/>
        <w:rPr>
          <w:rFonts w:ascii="Arial" w:hAnsi="Arial" w:cs="Arial"/>
          <w:lang w:val="hr-HR"/>
        </w:rPr>
      </w:pPr>
      <w:r w:rsidRPr="00EF4AAB">
        <w:rPr>
          <w:rFonts w:ascii="Arial" w:hAnsi="Arial" w:cs="Arial"/>
          <w:lang w:val="hr-HR"/>
        </w:rPr>
        <w:t xml:space="preserve">Ovaj se pravni okvir u </w:t>
      </w:r>
      <w:r w:rsidR="006A76A0" w:rsidRPr="00EF4AAB">
        <w:rPr>
          <w:rFonts w:ascii="Arial" w:hAnsi="Arial" w:cs="Arial"/>
          <w:lang w:val="hr-HR"/>
        </w:rPr>
        <w:t xml:space="preserve">sljedećim </w:t>
      </w:r>
      <w:r w:rsidRPr="00EF4AAB">
        <w:rPr>
          <w:rFonts w:ascii="Arial" w:hAnsi="Arial" w:cs="Arial"/>
          <w:lang w:val="hr-HR"/>
        </w:rPr>
        <w:t xml:space="preserve">desetljećima značajno osnažuje i proširuje nizom akata pravne snage te strateških dokumenata. Tako </w:t>
      </w:r>
      <w:hyperlink r:id="rId13" w:history="1">
        <w:r w:rsidRPr="00EF4AAB">
          <w:rPr>
            <w:rStyle w:val="Hyperlink"/>
            <w:rFonts w:ascii="Arial" w:hAnsi="Arial" w:cs="Arial"/>
            <w:i/>
            <w:iCs/>
            <w:lang w:val="hr-HR"/>
          </w:rPr>
          <w:t>Ugovor o Europskoj uniji</w:t>
        </w:r>
      </w:hyperlink>
      <w:r w:rsidRPr="00EF4AAB">
        <w:rPr>
          <w:rFonts w:ascii="Arial" w:hAnsi="Arial" w:cs="Arial"/>
          <w:i/>
          <w:iCs/>
          <w:lang w:val="hr-HR"/>
        </w:rPr>
        <w:t xml:space="preserve"> </w:t>
      </w:r>
      <w:r w:rsidRPr="00EF4AAB">
        <w:rPr>
          <w:rFonts w:ascii="Arial" w:hAnsi="Arial" w:cs="Arial"/>
          <w:lang w:val="hr-HR"/>
        </w:rPr>
        <w:t>(kolokvijalno</w:t>
      </w:r>
      <w:r w:rsidRPr="00EF4AAB">
        <w:rPr>
          <w:rFonts w:ascii="Arial" w:hAnsi="Arial" w:cs="Arial"/>
          <w:i/>
          <w:iCs/>
          <w:lang w:val="hr-HR"/>
        </w:rPr>
        <w:t xml:space="preserve"> </w:t>
      </w:r>
      <w:r w:rsidRPr="00EF4AAB">
        <w:rPr>
          <w:rFonts w:ascii="Arial" w:hAnsi="Arial" w:cs="Arial"/>
          <w:lang w:val="hr-HR"/>
        </w:rPr>
        <w:t>Ugovor iz Maastrichta) iz 1993.</w:t>
      </w:r>
      <w:r w:rsidR="00931EAF">
        <w:rPr>
          <w:rFonts w:ascii="Arial" w:hAnsi="Arial" w:cs="Arial"/>
          <w:lang w:val="hr-HR"/>
        </w:rPr>
        <w:t xml:space="preserve"> godine</w:t>
      </w:r>
      <w:r w:rsidRPr="00EF4AAB">
        <w:rPr>
          <w:rFonts w:ascii="Arial" w:hAnsi="Arial" w:cs="Arial"/>
          <w:lang w:val="hr-HR"/>
        </w:rPr>
        <w:t xml:space="preserve"> u članku 3. određuje da Unija „suzbija društvenu isključenost i diskriminaciju, promiče socijalnu pravdu i zaštitu, ravnopravnost žena i muškaraca, međugeneracijsku solidarnost i zaštitu prava djeteta“.</w:t>
      </w:r>
    </w:p>
    <w:p w14:paraId="19426CC1" w14:textId="63EAC32D" w:rsidR="000A698F" w:rsidRPr="00EF4AAB" w:rsidRDefault="00D27C67" w:rsidP="00A12228">
      <w:pPr>
        <w:spacing w:after="120" w:line="276" w:lineRule="auto"/>
        <w:jc w:val="both"/>
        <w:rPr>
          <w:rFonts w:ascii="Arial" w:hAnsi="Arial" w:cs="Arial"/>
          <w:lang w:val="hr-HR"/>
        </w:rPr>
      </w:pPr>
      <w:hyperlink r:id="rId14" w:history="1">
        <w:r w:rsidR="000A698F" w:rsidRPr="00EF4AAB">
          <w:rPr>
            <w:rStyle w:val="Hyperlink"/>
            <w:rFonts w:ascii="Arial" w:hAnsi="Arial" w:cs="Arial"/>
            <w:i/>
            <w:iCs/>
            <w:lang w:val="hr-HR"/>
          </w:rPr>
          <w:t>Poveljom Europske unije o temeljnim pravima</w:t>
        </w:r>
      </w:hyperlink>
      <w:r w:rsidR="000A698F" w:rsidRPr="00EF4AAB">
        <w:rPr>
          <w:rFonts w:ascii="Arial" w:hAnsi="Arial" w:cs="Arial"/>
          <w:lang w:val="hr-HR"/>
        </w:rPr>
        <w:t xml:space="preserve"> iz 2007.</w:t>
      </w:r>
      <w:r w:rsidR="00931EAF">
        <w:rPr>
          <w:rFonts w:ascii="Arial" w:hAnsi="Arial" w:cs="Arial"/>
          <w:lang w:val="hr-HR"/>
        </w:rPr>
        <w:t xml:space="preserve"> godine</w:t>
      </w:r>
      <w:r w:rsidR="000A698F" w:rsidRPr="00EF4AAB">
        <w:rPr>
          <w:rFonts w:ascii="Arial" w:hAnsi="Arial" w:cs="Arial"/>
          <w:lang w:val="hr-HR"/>
        </w:rPr>
        <w:t xml:space="preserve"> </w:t>
      </w:r>
      <w:r w:rsidR="009C3760" w:rsidRPr="00EF4AAB">
        <w:rPr>
          <w:rFonts w:ascii="Arial" w:hAnsi="Arial" w:cs="Arial"/>
          <w:lang w:val="hr-HR"/>
        </w:rPr>
        <w:t>u članku 23</w:t>
      </w:r>
      <w:r w:rsidR="00931EAF">
        <w:rPr>
          <w:rFonts w:ascii="Arial" w:hAnsi="Arial" w:cs="Arial"/>
          <w:lang w:val="hr-HR"/>
        </w:rPr>
        <w:t>.</w:t>
      </w:r>
      <w:r w:rsidR="009C3760" w:rsidRPr="00EF4AAB">
        <w:rPr>
          <w:rFonts w:ascii="Arial" w:hAnsi="Arial" w:cs="Arial"/>
          <w:lang w:val="hr-HR"/>
        </w:rPr>
        <w:t xml:space="preserve"> </w:t>
      </w:r>
      <w:r w:rsidR="000A698F" w:rsidRPr="00EF4AAB">
        <w:rPr>
          <w:rFonts w:ascii="Arial" w:hAnsi="Arial" w:cs="Arial"/>
          <w:lang w:val="hr-HR"/>
        </w:rPr>
        <w:t xml:space="preserve">propisuje se kako ravnopravnost žena i muškaraca mora biti osigurana u svim područjima, uključujući zapošljavanje, rad i plaću. </w:t>
      </w:r>
      <w:hyperlink r:id="rId15" w:history="1">
        <w:r w:rsidR="000A698F" w:rsidRPr="00EF4AAB">
          <w:rPr>
            <w:rStyle w:val="Hyperlink"/>
            <w:rFonts w:ascii="Arial" w:hAnsi="Arial" w:cs="Arial"/>
            <w:i/>
            <w:iCs/>
            <w:lang w:val="hr-HR"/>
          </w:rPr>
          <w:t>Ugovor iz Lisabona</w:t>
        </w:r>
      </w:hyperlink>
      <w:r w:rsidR="000A698F" w:rsidRPr="00EF4AAB">
        <w:rPr>
          <w:rFonts w:ascii="Arial" w:hAnsi="Arial" w:cs="Arial"/>
          <w:lang w:val="hr-HR"/>
        </w:rPr>
        <w:t xml:space="preserve"> o izmjeni Ugovora o </w:t>
      </w:r>
      <w:r w:rsidR="000A698F" w:rsidRPr="00EF4AAB">
        <w:rPr>
          <w:rFonts w:ascii="Arial" w:hAnsi="Arial" w:cs="Arial"/>
          <w:lang w:val="hr-HR"/>
        </w:rPr>
        <w:lastRenderedPageBreak/>
        <w:t>Europskoj uniji i Ugovora o osnivanju Europske zajednice koji je stupio na snagu 2009.</w:t>
      </w:r>
      <w:r w:rsidR="00931EAF">
        <w:rPr>
          <w:rFonts w:ascii="Arial" w:hAnsi="Arial" w:cs="Arial"/>
          <w:lang w:val="hr-HR"/>
        </w:rPr>
        <w:t xml:space="preserve"> godine</w:t>
      </w:r>
      <w:r w:rsidR="000A698F" w:rsidRPr="00EF4AAB">
        <w:rPr>
          <w:rFonts w:ascii="Arial" w:hAnsi="Arial" w:cs="Arial"/>
          <w:lang w:val="hr-HR"/>
        </w:rPr>
        <w:t xml:space="preserve"> </w:t>
      </w:r>
      <w:r w:rsidR="009C3760" w:rsidRPr="00EF4AAB">
        <w:rPr>
          <w:rFonts w:ascii="Arial" w:hAnsi="Arial" w:cs="Arial"/>
          <w:lang w:val="hr-HR"/>
        </w:rPr>
        <w:t xml:space="preserve">u članku 1.a </w:t>
      </w:r>
      <w:r w:rsidR="000A698F" w:rsidRPr="00EF4AAB">
        <w:rPr>
          <w:rFonts w:ascii="Arial" w:hAnsi="Arial" w:cs="Arial"/>
          <w:lang w:val="hr-HR"/>
        </w:rPr>
        <w:t>ponavlja kako „U svim svojim aktivnostima, Unija teži uklanjanju nejednakosti i promicanju ravnopravnosti između muškaraca i žena.“</w:t>
      </w:r>
    </w:p>
    <w:p w14:paraId="2452E794" w14:textId="4E9BF9A0" w:rsidR="000A698F" w:rsidRPr="00EF4AAB" w:rsidRDefault="000A698F" w:rsidP="00A12228">
      <w:pPr>
        <w:spacing w:after="120" w:line="276" w:lineRule="auto"/>
        <w:jc w:val="both"/>
        <w:rPr>
          <w:rFonts w:ascii="Arial" w:hAnsi="Arial" w:cs="Arial"/>
          <w:lang w:val="hr-HR"/>
        </w:rPr>
      </w:pPr>
      <w:r w:rsidRPr="00EF4AAB">
        <w:rPr>
          <w:rFonts w:ascii="Arial" w:hAnsi="Arial" w:cs="Arial"/>
          <w:lang w:val="hr-HR"/>
        </w:rPr>
        <w:t xml:space="preserve">Nastavljajući ova nastojanja, Europska je komisija u ožujku 2020. godine usvojila strategiju </w:t>
      </w:r>
      <w:r w:rsidRPr="00EF4AAB">
        <w:rPr>
          <w:rFonts w:ascii="Arial" w:hAnsi="Arial" w:cs="Arial"/>
          <w:i/>
          <w:iCs/>
          <w:lang w:val="hr-HR"/>
        </w:rPr>
        <w:t>Unija ravnopravnosti: Strategija za rodnu ravnopravnost 2020.</w:t>
      </w:r>
      <w:r w:rsidR="00931EAF">
        <w:rPr>
          <w:rFonts w:ascii="Arial" w:hAnsi="Arial" w:cs="Arial"/>
          <w:i/>
          <w:iCs/>
          <w:lang w:val="hr-HR"/>
        </w:rPr>
        <w:t xml:space="preserve"> </w:t>
      </w:r>
      <w:r w:rsidRPr="00EF4AAB">
        <w:rPr>
          <w:rFonts w:ascii="Arial" w:hAnsi="Arial" w:cs="Arial"/>
          <w:i/>
          <w:iCs/>
          <w:lang w:val="hr-HR"/>
        </w:rPr>
        <w:t>–</w:t>
      </w:r>
      <w:r w:rsidR="00931EAF">
        <w:rPr>
          <w:rFonts w:ascii="Arial" w:hAnsi="Arial" w:cs="Arial"/>
          <w:i/>
          <w:iCs/>
          <w:lang w:val="hr-HR"/>
        </w:rPr>
        <w:t xml:space="preserve"> </w:t>
      </w:r>
      <w:r w:rsidRPr="00EF4AAB">
        <w:rPr>
          <w:rFonts w:ascii="Arial" w:hAnsi="Arial" w:cs="Arial"/>
          <w:i/>
          <w:iCs/>
          <w:lang w:val="hr-HR"/>
        </w:rPr>
        <w:t>2025.</w:t>
      </w:r>
      <w:r w:rsidRPr="00EF4AAB">
        <w:rPr>
          <w:rFonts w:ascii="Arial" w:hAnsi="Arial" w:cs="Arial"/>
          <w:lang w:val="hr-HR"/>
        </w:rPr>
        <w:t xml:space="preserve"> </w:t>
      </w:r>
      <w:r w:rsidR="00337FD1" w:rsidRPr="00EF4AAB">
        <w:rPr>
          <w:rFonts w:ascii="Arial" w:hAnsi="Arial"/>
          <w:lang w:val="hr-HR"/>
        </w:rPr>
        <w:t>Slijedeći krovne politike Unije, od 1. siječnja 2022. godine uveden je novi uvjet prihvatljivosti za prijavitelje projekata financiranih iz programa Obzor Europa – usvojen Plan ravnopravnosti spolova.</w:t>
      </w:r>
      <w:r w:rsidR="00337FD1" w:rsidRPr="00EF4AAB">
        <w:rPr>
          <w:lang w:val="hr-HR"/>
        </w:rPr>
        <w:t xml:space="preserve"> </w:t>
      </w:r>
      <w:r w:rsidR="00337FD1" w:rsidRPr="00EF4AAB">
        <w:rPr>
          <w:rFonts w:ascii="Arial" w:hAnsi="Arial" w:cs="Arial"/>
          <w:lang w:val="hr-HR"/>
        </w:rPr>
        <w:t>U svrhu ispunjenja</w:t>
      </w:r>
      <w:r w:rsidRPr="00EF4AAB">
        <w:rPr>
          <w:rFonts w:ascii="Arial" w:hAnsi="Arial" w:cs="Arial"/>
          <w:lang w:val="hr-HR"/>
        </w:rPr>
        <w:t xml:space="preserve"> ov</w:t>
      </w:r>
      <w:r w:rsidR="00337FD1" w:rsidRPr="00EF4AAB">
        <w:rPr>
          <w:rFonts w:ascii="Arial" w:hAnsi="Arial" w:cs="Arial"/>
          <w:lang w:val="hr-HR"/>
        </w:rPr>
        <w:t>e</w:t>
      </w:r>
      <w:r w:rsidRPr="00EF4AAB">
        <w:rPr>
          <w:rFonts w:ascii="Arial" w:hAnsi="Arial" w:cs="Arial"/>
          <w:lang w:val="hr-HR"/>
        </w:rPr>
        <w:t xml:space="preserve"> obvez</w:t>
      </w:r>
      <w:r w:rsidR="00337FD1" w:rsidRPr="00EF4AAB">
        <w:rPr>
          <w:rFonts w:ascii="Arial" w:hAnsi="Arial" w:cs="Arial"/>
          <w:lang w:val="hr-HR"/>
        </w:rPr>
        <w:t>e</w:t>
      </w:r>
      <w:r w:rsidRPr="00EF4AAB">
        <w:rPr>
          <w:rFonts w:ascii="Arial" w:hAnsi="Arial" w:cs="Arial"/>
          <w:lang w:val="hr-HR"/>
        </w:rPr>
        <w:t>, a sa strateškim usmjerenjem dalj</w:t>
      </w:r>
      <w:r w:rsidR="00BF5ABA">
        <w:rPr>
          <w:rFonts w:ascii="Arial" w:hAnsi="Arial" w:cs="Arial"/>
          <w:lang w:val="hr-HR"/>
        </w:rPr>
        <w:t>nj</w:t>
      </w:r>
      <w:r w:rsidRPr="00EF4AAB">
        <w:rPr>
          <w:rFonts w:ascii="Arial" w:hAnsi="Arial" w:cs="Arial"/>
          <w:lang w:val="hr-HR"/>
        </w:rPr>
        <w:t xml:space="preserve">ega sudjelovanja u projektima financiranima iz Obzora Europa te napose institucionalnim usmjerenjem na vrijednosti ravnopravnosti i </w:t>
      </w:r>
      <w:r w:rsidR="003015B4" w:rsidRPr="00EF4AAB">
        <w:rPr>
          <w:rFonts w:ascii="Arial" w:hAnsi="Arial" w:cs="Arial"/>
          <w:lang w:val="hr-HR"/>
        </w:rPr>
        <w:t>ostale ustavne vrednote</w:t>
      </w:r>
      <w:r w:rsidRPr="00EF4AAB">
        <w:rPr>
          <w:rFonts w:ascii="Arial" w:hAnsi="Arial" w:cs="Arial"/>
          <w:lang w:val="hr-HR"/>
        </w:rPr>
        <w:t>, Agencija za mobilnost i programe Europske unije donosi ovaj Plan ravnopravnosti spolova.</w:t>
      </w:r>
    </w:p>
    <w:p w14:paraId="682C3236" w14:textId="5E6024CC" w:rsidR="00337FD1" w:rsidRPr="00EF4AAB" w:rsidRDefault="000A698F" w:rsidP="00A12228">
      <w:pPr>
        <w:spacing w:line="276" w:lineRule="auto"/>
        <w:jc w:val="both"/>
        <w:rPr>
          <w:rFonts w:ascii="Arial" w:hAnsi="Arial" w:cs="Arial"/>
          <w:lang w:val="hr-HR"/>
        </w:rPr>
      </w:pPr>
      <w:r w:rsidRPr="00EF4AAB">
        <w:rPr>
          <w:rFonts w:ascii="Arial" w:hAnsi="Arial" w:cs="Arial"/>
          <w:lang w:val="hr-HR"/>
        </w:rPr>
        <w:t xml:space="preserve">U pogledu terminologije, a </w:t>
      </w:r>
      <w:r w:rsidR="003015B4" w:rsidRPr="00EF4AAB">
        <w:rPr>
          <w:rFonts w:ascii="Arial" w:hAnsi="Arial" w:cs="Arial"/>
          <w:lang w:val="hr-HR"/>
        </w:rPr>
        <w:t>prema</w:t>
      </w:r>
      <w:r w:rsidRPr="00EF4AAB">
        <w:rPr>
          <w:rFonts w:ascii="Arial" w:hAnsi="Arial" w:cs="Arial"/>
          <w:lang w:val="hr-HR"/>
        </w:rPr>
        <w:t xml:space="preserve"> </w:t>
      </w:r>
      <w:hyperlink r:id="rId16" w:history="1">
        <w:r w:rsidRPr="00EF4AAB">
          <w:rPr>
            <w:rStyle w:val="Hyperlink"/>
            <w:rFonts w:ascii="Arial" w:hAnsi="Arial" w:cs="Arial"/>
            <w:i/>
            <w:iCs/>
            <w:lang w:val="hr-HR"/>
          </w:rPr>
          <w:t>Pojmovniku rodne terminologije prema standardima Europske unije</w:t>
        </w:r>
      </w:hyperlink>
      <w:r w:rsidRPr="00EF4AAB">
        <w:rPr>
          <w:rFonts w:ascii="Arial" w:hAnsi="Arial" w:cs="Arial"/>
          <w:i/>
          <w:iCs/>
          <w:lang w:val="hr-HR"/>
        </w:rPr>
        <w:t xml:space="preserve"> </w:t>
      </w:r>
      <w:r w:rsidRPr="00EF4AAB">
        <w:rPr>
          <w:rFonts w:ascii="Arial" w:hAnsi="Arial" w:cs="Arial"/>
          <w:lang w:val="hr-HR"/>
        </w:rPr>
        <w:t>(2007.)</w:t>
      </w:r>
      <w:r w:rsidRPr="00EF4AAB">
        <w:rPr>
          <w:rFonts w:ascii="Arial" w:hAnsi="Arial" w:cs="Arial"/>
          <w:i/>
          <w:iCs/>
          <w:lang w:val="hr-HR"/>
        </w:rPr>
        <w:t xml:space="preserve"> </w:t>
      </w:r>
      <w:r w:rsidRPr="00EF4AAB">
        <w:rPr>
          <w:rFonts w:ascii="Arial" w:hAnsi="Arial" w:cs="Arial"/>
          <w:lang w:val="hr-HR"/>
        </w:rPr>
        <w:t>u ovom dokumentu spol podrazumijeva biološke značajke koje obilježavaju ljudska bića kao žene i muškarce. Koncept roda odnosi se na društvene razlike između žena i muškaraca, razlike koje su naučene, koje se mijenjaju s vremenom i koje imaju širok raspon varijacija unutar jedne kulture i između kultura.</w:t>
      </w:r>
    </w:p>
    <w:p w14:paraId="20BB4A5E" w14:textId="54DA1823" w:rsidR="00337FD1" w:rsidRPr="00EF4AAB" w:rsidRDefault="00AC095F" w:rsidP="00AC095F">
      <w:pPr>
        <w:rPr>
          <w:rFonts w:ascii="Arial" w:hAnsi="Arial" w:cs="Arial"/>
          <w:lang w:val="hr-HR"/>
        </w:rPr>
      </w:pPr>
      <w:r w:rsidRPr="00EF4AAB">
        <w:rPr>
          <w:rFonts w:ascii="Arial" w:hAnsi="Arial" w:cs="Arial"/>
          <w:lang w:val="hr-HR"/>
        </w:rPr>
        <w:br w:type="page"/>
      </w:r>
    </w:p>
    <w:p w14:paraId="7C819563" w14:textId="665D323D" w:rsidR="004B2C96" w:rsidRPr="00EF4AAB" w:rsidRDefault="00290935" w:rsidP="004360DA">
      <w:pPr>
        <w:pStyle w:val="Heading2"/>
        <w:spacing w:before="0" w:after="120"/>
        <w:rPr>
          <w:rFonts w:ascii="Arial" w:hAnsi="Arial" w:cs="Arial"/>
          <w:lang w:val="hr-HR"/>
        </w:rPr>
      </w:pPr>
      <w:r w:rsidRPr="00EF4AAB">
        <w:rPr>
          <w:rFonts w:ascii="Arial" w:hAnsi="Arial" w:cs="Arial"/>
          <w:lang w:val="hr-HR"/>
        </w:rPr>
        <w:lastRenderedPageBreak/>
        <w:t xml:space="preserve">2. </w:t>
      </w:r>
      <w:r w:rsidR="004B2C96" w:rsidRPr="00EF4AAB">
        <w:rPr>
          <w:rFonts w:ascii="Arial" w:hAnsi="Arial" w:cs="Arial"/>
          <w:lang w:val="hr-HR"/>
        </w:rPr>
        <w:t>Institucionalni okvir i postojeće prakse</w:t>
      </w:r>
    </w:p>
    <w:p w14:paraId="124CF346" w14:textId="01C8C775" w:rsidR="004B2C96" w:rsidRPr="00EF4AAB" w:rsidRDefault="004B2C96" w:rsidP="00A12228">
      <w:pPr>
        <w:spacing w:after="120" w:line="276" w:lineRule="auto"/>
        <w:jc w:val="both"/>
        <w:rPr>
          <w:rFonts w:ascii="Arial" w:hAnsi="Arial" w:cs="Arial"/>
          <w:lang w:val="hr-HR"/>
        </w:rPr>
      </w:pPr>
      <w:r w:rsidRPr="00EF4AAB">
        <w:rPr>
          <w:rFonts w:ascii="Arial" w:hAnsi="Arial" w:cs="Arial"/>
          <w:lang w:val="hr-HR"/>
        </w:rPr>
        <w:t>U pogledu internih akata Agencije za mobilnost i programe Europske unije</w:t>
      </w:r>
      <w:r w:rsidR="003015B4" w:rsidRPr="00EF4AAB">
        <w:rPr>
          <w:rFonts w:ascii="Arial" w:hAnsi="Arial" w:cs="Arial"/>
          <w:lang w:val="hr-HR"/>
        </w:rPr>
        <w:t xml:space="preserve"> (u daljnjem tekstu Agencija)</w:t>
      </w:r>
      <w:r w:rsidRPr="00EF4AAB">
        <w:rPr>
          <w:rFonts w:ascii="Arial" w:hAnsi="Arial" w:cs="Arial"/>
          <w:lang w:val="hr-HR"/>
        </w:rPr>
        <w:t xml:space="preserve">, postojeće osnove za zaštitu i promicanje ravnopravnosti spolova Agencije propisane su Pravilnikom o radu i Etičkim kodeksom, a temelje se na Zakonu o radu i Temeljnom kolektivnom ugovoru za službenike i </w:t>
      </w:r>
      <w:r w:rsidR="00AC095F" w:rsidRPr="00EF4AAB">
        <w:rPr>
          <w:rFonts w:ascii="Arial" w:hAnsi="Arial" w:cs="Arial"/>
          <w:lang w:val="hr-HR"/>
        </w:rPr>
        <w:t>namještenike u javnim službama.</w:t>
      </w:r>
    </w:p>
    <w:p w14:paraId="2D1D8518" w14:textId="6B8679F7" w:rsidR="004B2C96" w:rsidRPr="00EF4AAB" w:rsidRDefault="004B2C96" w:rsidP="00A12228">
      <w:pPr>
        <w:spacing w:after="120" w:line="276" w:lineRule="auto"/>
        <w:jc w:val="both"/>
        <w:rPr>
          <w:rFonts w:ascii="Arial" w:hAnsi="Arial" w:cs="Arial"/>
          <w:lang w:val="hr-HR"/>
        </w:rPr>
      </w:pPr>
      <w:r w:rsidRPr="00EF4AAB">
        <w:rPr>
          <w:rFonts w:ascii="Arial" w:hAnsi="Arial" w:cs="Arial"/>
          <w:i/>
          <w:iCs/>
          <w:lang w:val="hr-HR"/>
        </w:rPr>
        <w:t>Pravilnik o radu</w:t>
      </w:r>
      <w:r w:rsidRPr="00EF4AAB">
        <w:rPr>
          <w:rFonts w:ascii="Arial" w:hAnsi="Arial" w:cs="Arial"/>
          <w:lang w:val="hr-HR"/>
        </w:rPr>
        <w:t xml:space="preserve"> uređuje uvjete rada, prava i obveze </w:t>
      </w:r>
      <w:r w:rsidR="009C3760" w:rsidRPr="00EF4AAB">
        <w:rPr>
          <w:rFonts w:ascii="Arial" w:hAnsi="Arial" w:cs="Arial"/>
          <w:lang w:val="hr-HR"/>
        </w:rPr>
        <w:t>radnika</w:t>
      </w:r>
      <w:r w:rsidRPr="00EF4AAB">
        <w:rPr>
          <w:rFonts w:ascii="Arial" w:hAnsi="Arial" w:cs="Arial"/>
          <w:lang w:val="hr-HR"/>
        </w:rPr>
        <w:t xml:space="preserve"> i Agencije kao poslodavca, plaće, organizaciju rada, postupak i mjere zaštite dostojanstva radnika i mjere zaštite od diskriminacije te druga pitanja iz radnog odnosa. U pravilniku su navedena pravila o prikupljanju osobnih podataka o spolu. Također je navedeno da uznemiravanje ili spolno uznemiravanje predstavljaju povredu obveze iz radnog odnosa te su propisani postupci podnošenja pritužbe i daljnji postupci. Navedeno je da je u Agenciji zabranjena diskriminacija u svim pojavnim oblicima. Dodatno su propisane mjere zaštite od diskriminacije za trudnice i roditelje ili posvojitelje male djece.</w:t>
      </w:r>
    </w:p>
    <w:p w14:paraId="6087BA31" w14:textId="643397CD" w:rsidR="004B2C96" w:rsidRPr="00EF4AAB" w:rsidRDefault="004B2C96" w:rsidP="00A12228">
      <w:pPr>
        <w:spacing w:after="120" w:line="276" w:lineRule="auto"/>
        <w:jc w:val="both"/>
        <w:rPr>
          <w:rFonts w:ascii="Arial" w:hAnsi="Arial" w:cs="Arial"/>
          <w:lang w:val="hr-HR"/>
        </w:rPr>
      </w:pPr>
      <w:r w:rsidRPr="00EF4AAB">
        <w:rPr>
          <w:rFonts w:ascii="Arial" w:hAnsi="Arial" w:cs="Arial"/>
          <w:i/>
          <w:iCs/>
          <w:lang w:val="hr-HR"/>
        </w:rPr>
        <w:t>Etički kodeks</w:t>
      </w:r>
      <w:r w:rsidRPr="00EF4AAB">
        <w:rPr>
          <w:rFonts w:ascii="Arial" w:hAnsi="Arial" w:cs="Arial"/>
          <w:lang w:val="hr-HR"/>
        </w:rPr>
        <w:t xml:space="preserve"> propisuje da su </w:t>
      </w:r>
      <w:r w:rsidR="00741F44" w:rsidRPr="00EF4AAB">
        <w:rPr>
          <w:rFonts w:ascii="Arial" w:hAnsi="Arial" w:cs="Arial"/>
          <w:lang w:val="hr-HR"/>
        </w:rPr>
        <w:t>radnici</w:t>
      </w:r>
      <w:r w:rsidRPr="00EF4AAB">
        <w:rPr>
          <w:rFonts w:ascii="Arial" w:hAnsi="Arial" w:cs="Arial"/>
          <w:lang w:val="hr-HR"/>
        </w:rPr>
        <w:t xml:space="preserve"> Agencije dužni jednako postupati prema svim poslovnim subjektima i korisnicima bez diskriminacije te da </w:t>
      </w:r>
      <w:r w:rsidR="00741F44" w:rsidRPr="00EF4AAB">
        <w:rPr>
          <w:rFonts w:ascii="Arial" w:hAnsi="Arial" w:cs="Arial"/>
          <w:lang w:val="hr-HR"/>
        </w:rPr>
        <w:t>radnici</w:t>
      </w:r>
      <w:r w:rsidRPr="00EF4AAB">
        <w:rPr>
          <w:rFonts w:ascii="Arial" w:hAnsi="Arial" w:cs="Arial"/>
          <w:lang w:val="hr-HR"/>
        </w:rPr>
        <w:t xml:space="preserve"> ne smiju diskriminirati druge </w:t>
      </w:r>
      <w:r w:rsidR="00741F44" w:rsidRPr="00EF4AAB">
        <w:rPr>
          <w:rFonts w:ascii="Arial" w:hAnsi="Arial" w:cs="Arial"/>
          <w:lang w:val="hr-HR"/>
        </w:rPr>
        <w:t>radnike</w:t>
      </w:r>
      <w:r w:rsidRPr="00EF4AAB">
        <w:rPr>
          <w:rFonts w:ascii="Arial" w:hAnsi="Arial" w:cs="Arial"/>
          <w:lang w:val="hr-HR"/>
        </w:rPr>
        <w:t>. Također je navedeno da je Agencija, u skladu s</w:t>
      </w:r>
      <w:r w:rsidR="00741F44" w:rsidRPr="00EF4AAB">
        <w:rPr>
          <w:rFonts w:ascii="Arial" w:hAnsi="Arial" w:cs="Arial"/>
          <w:lang w:val="hr-HR"/>
        </w:rPr>
        <w:t>a svojim</w:t>
      </w:r>
      <w:r w:rsidRPr="00EF4AAB">
        <w:rPr>
          <w:rFonts w:ascii="Arial" w:hAnsi="Arial" w:cs="Arial"/>
          <w:lang w:val="hr-HR"/>
        </w:rPr>
        <w:t xml:space="preserve"> mogućnostima dužna ulagati u razvoj svojih </w:t>
      </w:r>
      <w:r w:rsidR="00AD584F" w:rsidRPr="00EF4AAB">
        <w:rPr>
          <w:rFonts w:ascii="Arial" w:hAnsi="Arial" w:cs="Arial"/>
          <w:lang w:val="hr-HR"/>
        </w:rPr>
        <w:t>rad</w:t>
      </w:r>
      <w:r w:rsidRPr="00EF4AAB">
        <w:rPr>
          <w:rFonts w:ascii="Arial" w:hAnsi="Arial" w:cs="Arial"/>
          <w:lang w:val="hr-HR"/>
        </w:rPr>
        <w:t>nika i stvarati poticajno okruženje za inovativan i kreativan rad.</w:t>
      </w:r>
    </w:p>
    <w:p w14:paraId="51FEC6C9" w14:textId="37B13E8C" w:rsidR="004B2C96" w:rsidRPr="00EF4AAB" w:rsidRDefault="004B2C96" w:rsidP="00A12228">
      <w:pPr>
        <w:spacing w:after="120" w:line="276" w:lineRule="auto"/>
        <w:jc w:val="both"/>
        <w:rPr>
          <w:rFonts w:ascii="Arial" w:hAnsi="Arial" w:cs="Arial"/>
          <w:lang w:val="hr-HR"/>
        </w:rPr>
      </w:pPr>
      <w:r w:rsidRPr="00EF4AAB">
        <w:rPr>
          <w:rFonts w:ascii="Arial" w:hAnsi="Arial" w:cs="Arial"/>
          <w:lang w:val="hr-HR"/>
        </w:rPr>
        <w:t xml:space="preserve">Odlukom ravnateljice imenovani su </w:t>
      </w:r>
      <w:r w:rsidRPr="00EF4AAB">
        <w:rPr>
          <w:rFonts w:ascii="Arial" w:hAnsi="Arial" w:cs="Arial"/>
          <w:i/>
          <w:iCs/>
          <w:lang w:val="hr-HR"/>
        </w:rPr>
        <w:t>povjerljivi savjetnik</w:t>
      </w:r>
      <w:r w:rsidRPr="00EF4AAB">
        <w:rPr>
          <w:rFonts w:ascii="Arial" w:hAnsi="Arial" w:cs="Arial"/>
          <w:lang w:val="hr-HR"/>
        </w:rPr>
        <w:t xml:space="preserve"> i </w:t>
      </w:r>
      <w:r w:rsidRPr="00EF4AAB">
        <w:rPr>
          <w:rFonts w:ascii="Arial" w:hAnsi="Arial" w:cs="Arial"/>
          <w:i/>
          <w:iCs/>
          <w:lang w:val="hr-HR"/>
        </w:rPr>
        <w:t>povjerenik za etiku</w:t>
      </w:r>
      <w:r w:rsidRPr="00EF4AAB">
        <w:rPr>
          <w:rFonts w:ascii="Arial" w:hAnsi="Arial" w:cs="Arial"/>
          <w:lang w:val="hr-HR"/>
        </w:rPr>
        <w:t>, osobe koje prate primjenu Etičkog kodeksa, promiču etično ponašanje u međusobnim odnosima radnika te odnosima radnika prema građanima i drugim osobama, zaprimaju pritužbe radnika, građana i drugih osoba te su uz ravnateljicu ovlaštene zaprimati i rješavati pritužbe vezane za zaštitu dostojanstva radnika.</w:t>
      </w:r>
    </w:p>
    <w:p w14:paraId="361CF6D2" w14:textId="7B61ADFB" w:rsidR="004B2C96" w:rsidRPr="00EF4AAB" w:rsidRDefault="004B2C96" w:rsidP="00A12228">
      <w:pPr>
        <w:spacing w:after="120" w:line="276" w:lineRule="auto"/>
        <w:jc w:val="both"/>
        <w:rPr>
          <w:rFonts w:ascii="Arial" w:hAnsi="Arial" w:cs="Arial"/>
          <w:lang w:val="hr-HR"/>
        </w:rPr>
      </w:pPr>
      <w:r w:rsidRPr="00EF4AAB">
        <w:rPr>
          <w:rFonts w:ascii="Arial" w:hAnsi="Arial" w:cs="Arial"/>
          <w:lang w:val="hr-HR"/>
        </w:rPr>
        <w:t>Navedeni opći akti Agencije i relevantna imenovanja dostupni su svim zaposlenicima na int</w:t>
      </w:r>
      <w:r w:rsidR="006916A5">
        <w:rPr>
          <w:rFonts w:ascii="Arial" w:hAnsi="Arial" w:cs="Arial"/>
          <w:lang w:val="hr-HR"/>
        </w:rPr>
        <w:t>ranetu</w:t>
      </w:r>
      <w:r w:rsidRPr="00EF4AAB">
        <w:rPr>
          <w:rFonts w:ascii="Arial" w:hAnsi="Arial" w:cs="Arial"/>
          <w:lang w:val="hr-HR"/>
        </w:rPr>
        <w:t xml:space="preserve"> Agencije. Informacije o sadržaju akata također su dio obveznoga početnog osposobljavanja svih novih </w:t>
      </w:r>
      <w:r w:rsidR="00AD584F" w:rsidRPr="00EF4AAB">
        <w:rPr>
          <w:rFonts w:ascii="Arial" w:hAnsi="Arial" w:cs="Arial"/>
          <w:lang w:val="hr-HR"/>
        </w:rPr>
        <w:t>rad</w:t>
      </w:r>
      <w:r w:rsidRPr="00EF4AAB">
        <w:rPr>
          <w:rFonts w:ascii="Arial" w:hAnsi="Arial" w:cs="Arial"/>
          <w:lang w:val="hr-HR"/>
        </w:rPr>
        <w:t>nika.</w:t>
      </w:r>
    </w:p>
    <w:p w14:paraId="10359C0D" w14:textId="53EC5D24" w:rsidR="004B2C96" w:rsidRPr="00EF4AAB" w:rsidRDefault="004B2C96" w:rsidP="00A12228">
      <w:pPr>
        <w:spacing w:after="120" w:line="276" w:lineRule="auto"/>
        <w:jc w:val="both"/>
        <w:rPr>
          <w:rFonts w:ascii="Arial" w:hAnsi="Arial" w:cs="Arial"/>
          <w:lang w:val="hr-HR"/>
        </w:rPr>
      </w:pPr>
      <w:r w:rsidRPr="00EF4AAB">
        <w:rPr>
          <w:rFonts w:ascii="Arial" w:hAnsi="Arial" w:cs="Arial"/>
          <w:lang w:val="hr-HR"/>
        </w:rPr>
        <w:t xml:space="preserve">U pogledu institucionalnih vrijednosti, Agencija posebno skrbi o visokim etičkim standardima u odnosima među </w:t>
      </w:r>
      <w:r w:rsidR="00741F44" w:rsidRPr="00EF4AAB">
        <w:rPr>
          <w:rFonts w:ascii="Arial" w:hAnsi="Arial" w:cs="Arial"/>
          <w:lang w:val="hr-HR"/>
        </w:rPr>
        <w:t>radnicima</w:t>
      </w:r>
      <w:r w:rsidRPr="00EF4AAB">
        <w:rPr>
          <w:rFonts w:ascii="Arial" w:hAnsi="Arial" w:cs="Arial"/>
          <w:lang w:val="hr-HR"/>
        </w:rPr>
        <w:t xml:space="preserve"> te </w:t>
      </w:r>
      <w:r w:rsidR="00741F44" w:rsidRPr="00EF4AAB">
        <w:rPr>
          <w:rFonts w:ascii="Arial" w:hAnsi="Arial" w:cs="Arial"/>
          <w:lang w:val="hr-HR"/>
        </w:rPr>
        <w:t xml:space="preserve">u </w:t>
      </w:r>
      <w:r w:rsidRPr="00EF4AAB">
        <w:rPr>
          <w:rFonts w:ascii="Arial" w:hAnsi="Arial" w:cs="Arial"/>
          <w:lang w:val="hr-HR"/>
        </w:rPr>
        <w:t>suradnji s korisnicima i dionicima, potičući posebno solidarnost te promičući vrijednosti</w:t>
      </w:r>
      <w:r w:rsidR="00AC095F" w:rsidRPr="00EF4AAB">
        <w:rPr>
          <w:rFonts w:ascii="Arial" w:hAnsi="Arial" w:cs="Arial"/>
          <w:lang w:val="hr-HR"/>
        </w:rPr>
        <w:t xml:space="preserve"> ravnopravnosti i uključivosti.</w:t>
      </w:r>
    </w:p>
    <w:p w14:paraId="73B05651" w14:textId="557BEE5D" w:rsidR="00A12228" w:rsidRPr="00EF4AAB" w:rsidRDefault="004B2C96" w:rsidP="00A12228">
      <w:pPr>
        <w:spacing w:after="120" w:line="276" w:lineRule="auto"/>
        <w:jc w:val="both"/>
        <w:rPr>
          <w:rFonts w:ascii="Arial" w:hAnsi="Arial" w:cs="Arial"/>
          <w:lang w:val="hr-HR"/>
        </w:rPr>
      </w:pPr>
      <w:r w:rsidRPr="00EF4AAB">
        <w:rPr>
          <w:rFonts w:ascii="Arial" w:hAnsi="Arial" w:cs="Arial"/>
          <w:lang w:val="hr-HR"/>
        </w:rPr>
        <w:t>Jedan je od prioriteta Agencije kontinuirano ulaganje u ljudske potencijale kroz zapošljavanje kvalitetnih radnika, njihovo usavršavanje te zadržavanje i osiguranje konkurentnijih nematerijalnih i materijalnih uvjeta rada. Samo sustavnim ulaganjem u svoje radnike razina kvalitete pružene usluge može se konstantno povećavati, rezultirajući tako pozitivnom povratnom ocjenom korisničke strukture, ali i zadovoljstvom radni</w:t>
      </w:r>
      <w:r w:rsidR="00AC095F" w:rsidRPr="00EF4AAB">
        <w:rPr>
          <w:rFonts w:ascii="Arial" w:hAnsi="Arial" w:cs="Arial"/>
          <w:lang w:val="hr-HR"/>
        </w:rPr>
        <w:t>ka Agencije i nadležnih tijela.</w:t>
      </w:r>
    </w:p>
    <w:p w14:paraId="781840D4" w14:textId="776A8358" w:rsidR="004B2C96" w:rsidRPr="00EF4AAB" w:rsidRDefault="00A12228" w:rsidP="00A12228">
      <w:pPr>
        <w:rPr>
          <w:rFonts w:ascii="Arial" w:hAnsi="Arial" w:cs="Arial"/>
          <w:lang w:val="hr-HR"/>
        </w:rPr>
      </w:pPr>
      <w:r w:rsidRPr="00EF4AAB">
        <w:rPr>
          <w:rFonts w:ascii="Arial" w:hAnsi="Arial" w:cs="Arial"/>
          <w:lang w:val="hr-HR"/>
        </w:rPr>
        <w:br w:type="page"/>
      </w:r>
    </w:p>
    <w:p w14:paraId="4EEC5916" w14:textId="7233267D" w:rsidR="004B2C96" w:rsidRPr="00EF4AAB" w:rsidRDefault="004B2C96" w:rsidP="00A12228">
      <w:pPr>
        <w:spacing w:after="120" w:line="276" w:lineRule="auto"/>
        <w:rPr>
          <w:rFonts w:ascii="Arial" w:hAnsi="Arial" w:cs="Arial"/>
          <w:lang w:val="hr-HR"/>
        </w:rPr>
      </w:pPr>
      <w:r w:rsidRPr="00EF4AAB">
        <w:rPr>
          <w:rFonts w:ascii="Arial" w:hAnsi="Arial" w:cs="Arial"/>
          <w:lang w:val="hr-HR"/>
        </w:rPr>
        <w:lastRenderedPageBreak/>
        <w:t>U cilju jačanja politike zadržavanja radnika te osiguravanja kvalitetnih i poticajnih uvjeta rada</w:t>
      </w:r>
      <w:r w:rsidR="00A52BE7">
        <w:rPr>
          <w:rFonts w:ascii="Arial" w:hAnsi="Arial" w:cs="Arial"/>
          <w:lang w:val="hr-HR"/>
        </w:rPr>
        <w:t>,</w:t>
      </w:r>
      <w:r w:rsidRPr="00EF4AAB">
        <w:rPr>
          <w:rFonts w:ascii="Arial" w:hAnsi="Arial" w:cs="Arial"/>
          <w:lang w:val="hr-HR"/>
        </w:rPr>
        <w:t xml:space="preserve"> Agencija je usmjerena sustavnom unapređenju aktivnosti kojima je cilj:</w:t>
      </w:r>
    </w:p>
    <w:p w14:paraId="5C227DFA" w14:textId="1005D859" w:rsidR="004B2C96" w:rsidRPr="00EF4AAB" w:rsidRDefault="004B2C96" w:rsidP="00A12228">
      <w:pPr>
        <w:pStyle w:val="ListParagraph"/>
        <w:numPr>
          <w:ilvl w:val="0"/>
          <w:numId w:val="10"/>
        </w:numPr>
        <w:spacing w:after="0" w:line="276" w:lineRule="auto"/>
        <w:rPr>
          <w:rFonts w:ascii="Arial" w:hAnsi="Arial" w:cs="Arial"/>
          <w:lang w:val="hr-HR"/>
        </w:rPr>
      </w:pPr>
      <w:r w:rsidRPr="00EF4AAB">
        <w:rPr>
          <w:rFonts w:ascii="Arial" w:hAnsi="Arial" w:cs="Arial"/>
          <w:lang w:val="hr-HR"/>
        </w:rPr>
        <w:t>privući i zadržati stručne i kvalitetne radnike</w:t>
      </w:r>
    </w:p>
    <w:p w14:paraId="3247C99F" w14:textId="440048DF" w:rsidR="004B2C96" w:rsidRPr="00EF4AAB" w:rsidRDefault="004B2C96" w:rsidP="00A12228">
      <w:pPr>
        <w:pStyle w:val="ListParagraph"/>
        <w:numPr>
          <w:ilvl w:val="0"/>
          <w:numId w:val="10"/>
        </w:numPr>
        <w:spacing w:after="0" w:line="276" w:lineRule="auto"/>
        <w:rPr>
          <w:rFonts w:ascii="Arial" w:hAnsi="Arial" w:cs="Arial"/>
          <w:lang w:val="hr-HR"/>
        </w:rPr>
      </w:pPr>
      <w:r w:rsidRPr="00EF4AAB">
        <w:rPr>
          <w:rFonts w:ascii="Arial" w:hAnsi="Arial" w:cs="Arial"/>
          <w:lang w:val="hr-HR"/>
        </w:rPr>
        <w:t xml:space="preserve">spriječiti odlazak radnika </w:t>
      </w:r>
      <w:r w:rsidR="00AC095F" w:rsidRPr="00EF4AAB">
        <w:rPr>
          <w:rFonts w:ascii="Arial" w:hAnsi="Arial" w:cs="Arial"/>
          <w:lang w:val="hr-HR"/>
        </w:rPr>
        <w:t>koji</w:t>
      </w:r>
      <w:r w:rsidRPr="00EF4AAB">
        <w:rPr>
          <w:rFonts w:ascii="Arial" w:hAnsi="Arial" w:cs="Arial"/>
          <w:lang w:val="hr-HR"/>
        </w:rPr>
        <w:t xml:space="preserve"> može imati štetne posljedice za </w:t>
      </w:r>
      <w:r w:rsidR="005572E9">
        <w:rPr>
          <w:rFonts w:ascii="Arial" w:hAnsi="Arial" w:cs="Arial"/>
          <w:lang w:val="hr-HR"/>
        </w:rPr>
        <w:t xml:space="preserve">poslovne </w:t>
      </w:r>
      <w:r w:rsidRPr="00EF4AAB">
        <w:rPr>
          <w:rFonts w:ascii="Arial" w:hAnsi="Arial" w:cs="Arial"/>
          <w:lang w:val="hr-HR"/>
        </w:rPr>
        <w:t>procese</w:t>
      </w:r>
    </w:p>
    <w:p w14:paraId="56E43247" w14:textId="4BE7E91B" w:rsidR="004B2C96" w:rsidRPr="00EF4AAB" w:rsidRDefault="004B2C96" w:rsidP="00A12228">
      <w:pPr>
        <w:pStyle w:val="ListParagraph"/>
        <w:numPr>
          <w:ilvl w:val="0"/>
          <w:numId w:val="10"/>
        </w:numPr>
        <w:spacing w:after="120" w:line="276" w:lineRule="auto"/>
        <w:rPr>
          <w:rFonts w:ascii="Arial" w:hAnsi="Arial" w:cs="Arial"/>
          <w:lang w:val="hr-HR"/>
        </w:rPr>
      </w:pPr>
      <w:r w:rsidRPr="00EF4AAB">
        <w:rPr>
          <w:rFonts w:ascii="Arial" w:hAnsi="Arial" w:cs="Arial"/>
          <w:lang w:val="hr-HR"/>
        </w:rPr>
        <w:t>stvoriti ugodno i kvalitetno radno okruženje uz mogućnost</w:t>
      </w:r>
      <w:r w:rsidR="00344DB8" w:rsidRPr="00EF4AAB">
        <w:rPr>
          <w:rFonts w:ascii="Arial" w:hAnsi="Arial" w:cs="Arial"/>
          <w:lang w:val="hr-HR"/>
        </w:rPr>
        <w:t xml:space="preserve">i razvoja i </w:t>
      </w:r>
      <w:r w:rsidRPr="00EF4AAB">
        <w:rPr>
          <w:rFonts w:ascii="Arial" w:hAnsi="Arial" w:cs="Arial"/>
          <w:lang w:val="hr-HR"/>
        </w:rPr>
        <w:t>napredovanja radnika.</w:t>
      </w:r>
    </w:p>
    <w:p w14:paraId="6E091244" w14:textId="67EE28CA" w:rsidR="004B2C96" w:rsidRPr="00EF4AAB" w:rsidRDefault="004B2C96" w:rsidP="00A12228">
      <w:pPr>
        <w:spacing w:after="120" w:line="276" w:lineRule="auto"/>
        <w:jc w:val="both"/>
        <w:rPr>
          <w:rFonts w:ascii="Arial" w:eastAsia="Times New Roman" w:hAnsi="Arial" w:cs="Arial"/>
          <w:lang w:val="hr-HR"/>
        </w:rPr>
      </w:pPr>
      <w:r w:rsidRPr="00EF4AAB">
        <w:rPr>
          <w:rFonts w:ascii="Arial" w:hAnsi="Arial" w:cs="Arial"/>
          <w:lang w:val="hr-HR"/>
        </w:rPr>
        <w:t xml:space="preserve">Agencija posebno ulaže u razvoj karijere svojih radnika nudeći </w:t>
      </w:r>
      <w:r w:rsidRPr="00EF4AAB">
        <w:rPr>
          <w:rFonts w:ascii="Arial" w:eastAsia="Times New Roman" w:hAnsi="Arial" w:cs="Arial"/>
          <w:lang w:val="hr-HR"/>
        </w:rPr>
        <w:t>mogućnosti za kontinuirani profesionalni razvoj, stjecanje i razvoj stručnih, osobnih i rukovodnih kompetencija vrednovanih na tržištu rada. Agencija također podupire dalj</w:t>
      </w:r>
      <w:r w:rsidR="007844AE">
        <w:rPr>
          <w:rFonts w:ascii="Arial" w:eastAsia="Times New Roman" w:hAnsi="Arial" w:cs="Arial"/>
          <w:lang w:val="hr-HR"/>
        </w:rPr>
        <w:t>nj</w:t>
      </w:r>
      <w:r w:rsidRPr="00EF4AAB">
        <w:rPr>
          <w:rFonts w:ascii="Arial" w:eastAsia="Times New Roman" w:hAnsi="Arial" w:cs="Arial"/>
          <w:lang w:val="hr-HR"/>
        </w:rPr>
        <w:t xml:space="preserve">e formalno obrazovanje zainteresiranih </w:t>
      </w:r>
      <w:r w:rsidR="00344DB8" w:rsidRPr="00EF4AAB">
        <w:rPr>
          <w:rFonts w:ascii="Arial" w:eastAsia="Times New Roman" w:hAnsi="Arial" w:cs="Arial"/>
          <w:lang w:val="hr-HR"/>
        </w:rPr>
        <w:t>radnika</w:t>
      </w:r>
      <w:r w:rsidRPr="00EF4AAB">
        <w:rPr>
          <w:rFonts w:ascii="Arial" w:eastAsia="Times New Roman" w:hAnsi="Arial" w:cs="Arial"/>
          <w:lang w:val="hr-HR"/>
        </w:rPr>
        <w:t xml:space="preserve"> – stjecanje više </w:t>
      </w:r>
      <w:r w:rsidR="005572E9">
        <w:rPr>
          <w:rFonts w:ascii="Arial" w:eastAsia="Times New Roman" w:hAnsi="Arial" w:cs="Arial"/>
          <w:lang w:val="hr-HR"/>
        </w:rPr>
        <w:t>razine obrazovanja</w:t>
      </w:r>
      <w:r w:rsidRPr="00EF4AAB">
        <w:rPr>
          <w:rFonts w:ascii="Arial" w:eastAsia="Times New Roman" w:hAnsi="Arial" w:cs="Arial"/>
          <w:lang w:val="hr-HR"/>
        </w:rPr>
        <w:t>, prekvalifikaciju ili pohađanje poslijediplomskog studija.</w:t>
      </w:r>
    </w:p>
    <w:p w14:paraId="5CDAA11B" w14:textId="5EA37855" w:rsidR="004360DA" w:rsidRPr="00EF4AAB" w:rsidRDefault="004B2C96" w:rsidP="00A12228">
      <w:pPr>
        <w:spacing w:after="0" w:line="276" w:lineRule="auto"/>
        <w:jc w:val="both"/>
        <w:rPr>
          <w:rFonts w:ascii="Arial" w:eastAsia="Times New Roman" w:hAnsi="Arial" w:cs="Arial"/>
          <w:lang w:val="hr-HR"/>
        </w:rPr>
      </w:pPr>
      <w:r w:rsidRPr="00EF4AAB">
        <w:rPr>
          <w:rFonts w:ascii="Arial" w:eastAsia="Times New Roman" w:hAnsi="Arial" w:cs="Arial"/>
          <w:lang w:val="hr-HR"/>
        </w:rPr>
        <w:t xml:space="preserve">Svjesna potrebe osiguravanja uvjeta za postizanje čim bolje ravnoteže između poslovnog i privatnog života svim </w:t>
      </w:r>
      <w:r w:rsidR="00344DB8" w:rsidRPr="00EF4AAB">
        <w:rPr>
          <w:rFonts w:ascii="Arial" w:eastAsia="Times New Roman" w:hAnsi="Arial" w:cs="Arial"/>
          <w:lang w:val="hr-HR"/>
        </w:rPr>
        <w:t>radnicima</w:t>
      </w:r>
      <w:r w:rsidR="00A12228" w:rsidRPr="00EF4AAB">
        <w:rPr>
          <w:rFonts w:ascii="Arial" w:eastAsia="Times New Roman" w:hAnsi="Arial" w:cs="Arial"/>
          <w:lang w:val="hr-HR"/>
        </w:rPr>
        <w:t>,</w:t>
      </w:r>
      <w:r w:rsidRPr="00EF4AAB">
        <w:rPr>
          <w:rFonts w:ascii="Arial" w:eastAsia="Times New Roman" w:hAnsi="Arial" w:cs="Arial"/>
          <w:lang w:val="hr-HR"/>
        </w:rPr>
        <w:t xml:space="preserve"> a posebno roditeljima i pružateljima skrbi, Agencija je tijekom 15 godina svoga postojanja postupno ustrojila </w:t>
      </w:r>
      <w:r w:rsidR="00344DB8" w:rsidRPr="00EF4AAB">
        <w:rPr>
          <w:rFonts w:ascii="Arial" w:eastAsia="Times New Roman" w:hAnsi="Arial" w:cs="Arial"/>
          <w:lang w:val="hr-HR"/>
        </w:rPr>
        <w:t>razrađen</w:t>
      </w:r>
      <w:r w:rsidRPr="00EF4AAB">
        <w:rPr>
          <w:rFonts w:ascii="Arial" w:eastAsia="Times New Roman" w:hAnsi="Arial" w:cs="Arial"/>
          <w:lang w:val="hr-HR"/>
        </w:rPr>
        <w:t xml:space="preserve"> sustav koji adresira navedene potrebe nizom fleksibilnosti, a u okvirima mjerodavnih propisa.</w:t>
      </w:r>
    </w:p>
    <w:p w14:paraId="7EF7E4B9" w14:textId="78938426" w:rsidR="0090171E" w:rsidRPr="00EF4AAB" w:rsidRDefault="004360DA" w:rsidP="03E9FECE">
      <w:pPr>
        <w:rPr>
          <w:rFonts w:ascii="Arial" w:hAnsi="Arial" w:cs="Arial"/>
          <w:b/>
          <w:bCs/>
          <w:color w:val="595959"/>
          <w:lang w:val="hr-HR"/>
        </w:rPr>
      </w:pPr>
      <w:r w:rsidRPr="00EF4AAB">
        <w:rPr>
          <w:rFonts w:ascii="Arial" w:hAnsi="Arial" w:cs="Arial"/>
          <w:b/>
          <w:bCs/>
          <w:color w:val="595959"/>
          <w:lang w:val="hr-HR"/>
        </w:rPr>
        <w:br w:type="page"/>
      </w:r>
    </w:p>
    <w:p w14:paraId="5E36AE6D" w14:textId="26E29E25" w:rsidR="00FF49A2" w:rsidRPr="00EF4AAB" w:rsidRDefault="00FF49A2" w:rsidP="00AC095F">
      <w:pPr>
        <w:pStyle w:val="Heading2"/>
        <w:spacing w:before="0" w:after="120"/>
        <w:rPr>
          <w:rFonts w:ascii="Arial" w:hAnsi="Arial" w:cs="Arial"/>
          <w:lang w:val="hr-HR"/>
        </w:rPr>
      </w:pPr>
      <w:r w:rsidRPr="00EF4AAB">
        <w:rPr>
          <w:rFonts w:ascii="Arial" w:hAnsi="Arial" w:cs="Arial"/>
          <w:lang w:val="hr-HR"/>
        </w:rPr>
        <w:lastRenderedPageBreak/>
        <w:t xml:space="preserve">3. </w:t>
      </w:r>
      <w:r w:rsidR="0090171E" w:rsidRPr="00EF4AAB">
        <w:rPr>
          <w:rFonts w:ascii="Arial" w:hAnsi="Arial" w:cs="Arial"/>
          <w:lang w:val="hr-HR"/>
        </w:rPr>
        <w:t>Analiza ljudskih potencijala i istraživanja organizacijske klime</w:t>
      </w:r>
    </w:p>
    <w:p w14:paraId="7BE8E76C" w14:textId="77777777" w:rsidR="0090171E" w:rsidRPr="00EF4AAB" w:rsidRDefault="0090171E" w:rsidP="00A12228">
      <w:pPr>
        <w:spacing w:after="120" w:line="276" w:lineRule="auto"/>
        <w:jc w:val="both"/>
        <w:rPr>
          <w:rFonts w:ascii="Arial" w:hAnsi="Arial" w:cs="Arial"/>
          <w:lang w:val="hr-HR"/>
        </w:rPr>
      </w:pPr>
      <w:r w:rsidRPr="00EF4AAB">
        <w:rPr>
          <w:rFonts w:ascii="Arial" w:hAnsi="Arial" w:cs="Arial"/>
          <w:lang w:val="hr-HR"/>
        </w:rPr>
        <w:t>U svrhu prikaza statističkih podataka razvrstanih po spolu, Radna skupina za izradu Plana ravnopravnosti spolova priredila je statističku analizu ljudskih potencijala za 2021. godinu. Podaci razvrstani po spolu prikazani su prema:</w:t>
      </w:r>
    </w:p>
    <w:p w14:paraId="310323BB" w14:textId="377A23D5" w:rsidR="0090171E" w:rsidRPr="00EF4AAB" w:rsidRDefault="0090171E" w:rsidP="00A12228">
      <w:pPr>
        <w:pStyle w:val="ListParagraph"/>
        <w:numPr>
          <w:ilvl w:val="0"/>
          <w:numId w:val="8"/>
        </w:numPr>
        <w:spacing w:line="276" w:lineRule="auto"/>
        <w:jc w:val="both"/>
        <w:rPr>
          <w:rFonts w:ascii="Arial" w:hAnsi="Arial" w:cs="Arial"/>
          <w:lang w:val="hr-HR"/>
        </w:rPr>
      </w:pPr>
      <w:r w:rsidRPr="00EF4AAB">
        <w:rPr>
          <w:rFonts w:ascii="Arial" w:hAnsi="Arial" w:cs="Arial"/>
          <w:lang w:val="hr-HR"/>
        </w:rPr>
        <w:t>radnom mjestu</w:t>
      </w:r>
    </w:p>
    <w:p w14:paraId="607E7C65" w14:textId="77777777" w:rsidR="0090171E" w:rsidRPr="00EF4AAB" w:rsidRDefault="0090171E" w:rsidP="00A12228">
      <w:pPr>
        <w:pStyle w:val="ListParagraph"/>
        <w:numPr>
          <w:ilvl w:val="0"/>
          <w:numId w:val="8"/>
        </w:numPr>
        <w:spacing w:line="276" w:lineRule="auto"/>
        <w:jc w:val="both"/>
        <w:rPr>
          <w:rFonts w:ascii="Arial" w:hAnsi="Arial" w:cs="Arial"/>
          <w:lang w:val="hr-HR"/>
        </w:rPr>
      </w:pPr>
      <w:r w:rsidRPr="00EF4AAB">
        <w:rPr>
          <w:rFonts w:ascii="Arial" w:hAnsi="Arial" w:cs="Arial"/>
          <w:lang w:val="hr-HR"/>
        </w:rPr>
        <w:t xml:space="preserve">ustrojstvenim jedinicama </w:t>
      </w:r>
    </w:p>
    <w:p w14:paraId="6F77291F" w14:textId="63BD716D" w:rsidR="0090171E" w:rsidRPr="00EF4AAB" w:rsidRDefault="0090171E" w:rsidP="00A12228">
      <w:pPr>
        <w:pStyle w:val="ListParagraph"/>
        <w:numPr>
          <w:ilvl w:val="0"/>
          <w:numId w:val="8"/>
        </w:numPr>
        <w:spacing w:after="120" w:line="276" w:lineRule="auto"/>
        <w:jc w:val="both"/>
        <w:rPr>
          <w:rFonts w:ascii="Arial" w:hAnsi="Arial" w:cs="Arial"/>
          <w:lang w:val="hr-HR"/>
        </w:rPr>
      </w:pPr>
      <w:r w:rsidRPr="00EF4AAB">
        <w:rPr>
          <w:rFonts w:ascii="Arial" w:hAnsi="Arial" w:cs="Arial"/>
          <w:lang w:val="hr-HR"/>
        </w:rPr>
        <w:t>aspektima radnog odnosa</w:t>
      </w:r>
      <w:r w:rsidR="00344DB8" w:rsidRPr="00EF4AAB">
        <w:rPr>
          <w:rFonts w:ascii="Arial" w:hAnsi="Arial" w:cs="Arial"/>
          <w:lang w:val="hr-HR"/>
        </w:rPr>
        <w:t>.</w:t>
      </w:r>
    </w:p>
    <w:p w14:paraId="3E7E6EB2" w14:textId="66ACA194" w:rsidR="00FF49A2" w:rsidRPr="00EF4AAB" w:rsidRDefault="0090171E" w:rsidP="00A12228">
      <w:pPr>
        <w:spacing w:after="240" w:line="276" w:lineRule="auto"/>
        <w:jc w:val="both"/>
        <w:rPr>
          <w:rFonts w:ascii="Arial" w:hAnsi="Arial" w:cs="Arial"/>
          <w:lang w:val="hr-HR"/>
        </w:rPr>
      </w:pPr>
      <w:r w:rsidRPr="00EF4AAB">
        <w:rPr>
          <w:rFonts w:ascii="Arial" w:hAnsi="Arial" w:cs="Arial"/>
          <w:lang w:val="hr-HR"/>
        </w:rPr>
        <w:t xml:space="preserve">Kao što je prikazano na Slici 1., </w:t>
      </w:r>
      <w:r w:rsidRPr="00EF4AAB">
        <w:rPr>
          <w:rFonts w:ascii="Arial" w:hAnsi="Arial" w:cs="Arial"/>
          <w:b/>
          <w:lang w:val="hr-HR"/>
        </w:rPr>
        <w:t>većina osoba zaposlenih u Agenciji su žene</w:t>
      </w:r>
      <w:r w:rsidRPr="00EF4AAB">
        <w:rPr>
          <w:rFonts w:ascii="Arial" w:hAnsi="Arial" w:cs="Arial"/>
          <w:lang w:val="hr-HR"/>
        </w:rPr>
        <w:t xml:space="preserve"> te one također čine većinu u upravljačkoj strukturi (Slika 2</w:t>
      </w:r>
      <w:r w:rsidR="007002D2">
        <w:rPr>
          <w:rFonts w:ascii="Arial" w:hAnsi="Arial" w:cs="Arial"/>
          <w:lang w:val="hr-HR"/>
        </w:rPr>
        <w:t>.</w:t>
      </w:r>
      <w:r w:rsidRPr="00EF4AAB">
        <w:rPr>
          <w:rFonts w:ascii="Arial" w:hAnsi="Arial" w:cs="Arial"/>
          <w:lang w:val="hr-HR"/>
        </w:rPr>
        <w:t xml:space="preserve">). Gledajući usporedno navedene prikaze, nameće se zaključak da </w:t>
      </w:r>
      <w:r w:rsidRPr="00EF4AAB">
        <w:rPr>
          <w:rFonts w:ascii="Arial" w:hAnsi="Arial" w:cs="Arial"/>
          <w:b/>
          <w:lang w:val="hr-HR"/>
        </w:rPr>
        <w:t xml:space="preserve">nema značajne razlike u zastupljenosti oba spola u upravljačkoj strukturi organizacije u odnosu na opću distribuciju </w:t>
      </w:r>
      <w:r w:rsidR="00344DB8" w:rsidRPr="00EF4AAB">
        <w:rPr>
          <w:rFonts w:ascii="Arial" w:hAnsi="Arial" w:cs="Arial"/>
          <w:b/>
          <w:lang w:val="hr-HR"/>
        </w:rPr>
        <w:t>radnica</w:t>
      </w:r>
      <w:r w:rsidRPr="00EF4AAB">
        <w:rPr>
          <w:rFonts w:ascii="Arial" w:hAnsi="Arial" w:cs="Arial"/>
          <w:b/>
          <w:lang w:val="hr-HR"/>
        </w:rPr>
        <w:t xml:space="preserve"> i </w:t>
      </w:r>
      <w:r w:rsidR="00344DB8" w:rsidRPr="00EF4AAB">
        <w:rPr>
          <w:rFonts w:ascii="Arial" w:hAnsi="Arial" w:cs="Arial"/>
          <w:b/>
          <w:lang w:val="hr-HR"/>
        </w:rPr>
        <w:t>radnika</w:t>
      </w:r>
      <w:r w:rsidRPr="00EF4AAB">
        <w:rPr>
          <w:rFonts w:ascii="Arial" w:hAnsi="Arial" w:cs="Arial"/>
          <w:b/>
          <w:lang w:val="hr-HR"/>
        </w:rPr>
        <w:t xml:space="preserve"> po spolu</w:t>
      </w:r>
      <w:r w:rsidR="00A12228" w:rsidRPr="00EF4AAB">
        <w:rPr>
          <w:rFonts w:ascii="Arial" w:hAnsi="Arial" w:cs="Arial"/>
          <w:lang w:val="hr-HR"/>
        </w:rPr>
        <w:t>.</w:t>
      </w:r>
    </w:p>
    <w:p w14:paraId="22B4962C" w14:textId="5F50ABC3" w:rsidR="0090171E" w:rsidRPr="00EF4AAB" w:rsidRDefault="0090171E" w:rsidP="0090171E">
      <w:pPr>
        <w:pStyle w:val="Caption"/>
        <w:spacing w:after="120"/>
        <w:jc w:val="center"/>
        <w:rPr>
          <w:rFonts w:ascii="Arial" w:hAnsi="Arial" w:cs="Arial"/>
          <w:lang w:val="hr-HR"/>
        </w:rPr>
      </w:pPr>
      <w:r w:rsidRPr="00EF4AAB">
        <w:rPr>
          <w:rFonts w:ascii="Arial" w:hAnsi="Arial" w:cs="Arial"/>
          <w:lang w:val="hr-HR"/>
        </w:rPr>
        <w:t xml:space="preserve">Slika 1. Raspodjela </w:t>
      </w:r>
      <w:r w:rsidR="00344DB8" w:rsidRPr="00EF4AAB">
        <w:rPr>
          <w:rFonts w:ascii="Arial" w:hAnsi="Arial" w:cs="Arial"/>
          <w:lang w:val="hr-HR"/>
        </w:rPr>
        <w:t>radnica</w:t>
      </w:r>
      <w:r w:rsidRPr="00EF4AAB">
        <w:rPr>
          <w:rFonts w:ascii="Arial" w:hAnsi="Arial" w:cs="Arial"/>
          <w:lang w:val="hr-HR"/>
        </w:rPr>
        <w:t xml:space="preserve"> i </w:t>
      </w:r>
      <w:r w:rsidR="00344DB8" w:rsidRPr="00EF4AAB">
        <w:rPr>
          <w:rFonts w:ascii="Arial" w:hAnsi="Arial" w:cs="Arial"/>
          <w:lang w:val="hr-HR"/>
        </w:rPr>
        <w:t>radn</w:t>
      </w:r>
      <w:r w:rsidRPr="00EF4AAB">
        <w:rPr>
          <w:rFonts w:ascii="Arial" w:hAnsi="Arial" w:cs="Arial"/>
          <w:lang w:val="hr-HR"/>
        </w:rPr>
        <w:t>ika po spolu</w:t>
      </w:r>
    </w:p>
    <w:p w14:paraId="04F1CE56" w14:textId="77777777" w:rsidR="0090171E" w:rsidRPr="00EF4AAB" w:rsidRDefault="0090171E" w:rsidP="00AC095F">
      <w:pPr>
        <w:spacing w:after="360"/>
        <w:jc w:val="center"/>
        <w:rPr>
          <w:lang w:val="hr-HR"/>
        </w:rPr>
      </w:pPr>
      <w:r w:rsidRPr="00E800F9">
        <w:rPr>
          <w:noProof/>
          <w:lang w:val="en-GB" w:eastAsia="en-GB"/>
        </w:rPr>
        <w:drawing>
          <wp:inline distT="0" distB="0" distL="0" distR="0" wp14:anchorId="4BA3AEE1" wp14:editId="7BCA2F54">
            <wp:extent cx="2880000" cy="1800000"/>
            <wp:effectExtent l="0" t="0" r="1587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855D22" w14:textId="4C20638D" w:rsidR="0090171E" w:rsidRPr="00EF4AAB" w:rsidRDefault="0090171E" w:rsidP="0090171E">
      <w:pPr>
        <w:pStyle w:val="Caption"/>
        <w:spacing w:after="120"/>
        <w:jc w:val="center"/>
        <w:rPr>
          <w:rFonts w:ascii="Arial" w:hAnsi="Arial" w:cs="Arial"/>
          <w:lang w:val="hr-HR"/>
        </w:rPr>
      </w:pPr>
      <w:r w:rsidRPr="00EF4AAB">
        <w:rPr>
          <w:rFonts w:ascii="Arial" w:hAnsi="Arial" w:cs="Arial"/>
          <w:lang w:val="hr-HR"/>
        </w:rPr>
        <w:t xml:space="preserve">Slika 2. Raspodjela </w:t>
      </w:r>
      <w:r w:rsidR="00344DB8" w:rsidRPr="00EF4AAB">
        <w:rPr>
          <w:rFonts w:ascii="Arial" w:hAnsi="Arial" w:cs="Arial"/>
          <w:lang w:val="hr-HR"/>
        </w:rPr>
        <w:t>radnika</w:t>
      </w:r>
      <w:r w:rsidRPr="00EF4AAB">
        <w:rPr>
          <w:rFonts w:ascii="Arial" w:hAnsi="Arial" w:cs="Arial"/>
          <w:lang w:val="hr-HR"/>
        </w:rPr>
        <w:t xml:space="preserve"> i </w:t>
      </w:r>
      <w:r w:rsidR="00344DB8" w:rsidRPr="00EF4AAB">
        <w:rPr>
          <w:rFonts w:ascii="Arial" w:hAnsi="Arial" w:cs="Arial"/>
          <w:lang w:val="hr-HR"/>
        </w:rPr>
        <w:t>radnica</w:t>
      </w:r>
      <w:r w:rsidRPr="00EF4AAB">
        <w:rPr>
          <w:rFonts w:ascii="Arial" w:hAnsi="Arial" w:cs="Arial"/>
          <w:lang w:val="hr-HR"/>
        </w:rPr>
        <w:t xml:space="preserve"> po spolu na upravljačkim funkcijama</w:t>
      </w:r>
    </w:p>
    <w:p w14:paraId="5652BB6A" w14:textId="77777777" w:rsidR="0090171E" w:rsidRPr="00EF4AAB" w:rsidRDefault="0090171E" w:rsidP="0090171E">
      <w:pPr>
        <w:jc w:val="center"/>
        <w:rPr>
          <w:lang w:val="hr-HR"/>
        </w:rPr>
      </w:pPr>
      <w:r w:rsidRPr="00E800F9">
        <w:rPr>
          <w:noProof/>
          <w:lang w:val="en-GB" w:eastAsia="en-GB"/>
        </w:rPr>
        <w:drawing>
          <wp:inline distT="0" distB="0" distL="0" distR="0" wp14:anchorId="71D52734" wp14:editId="4787B320">
            <wp:extent cx="2880000" cy="1800000"/>
            <wp:effectExtent l="0" t="0" r="1587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ECB816" w14:textId="77777777" w:rsidR="0090171E" w:rsidRPr="00EF4AAB" w:rsidRDefault="0090171E" w:rsidP="0090171E">
      <w:pPr>
        <w:rPr>
          <w:lang w:val="hr-HR"/>
        </w:rPr>
      </w:pPr>
      <w:r w:rsidRPr="00EF4AAB">
        <w:rPr>
          <w:lang w:val="hr-HR"/>
        </w:rPr>
        <w:br w:type="page"/>
      </w:r>
    </w:p>
    <w:p w14:paraId="5083F66A" w14:textId="479479F3" w:rsidR="00FF49A2" w:rsidRPr="00EF4AAB" w:rsidRDefault="0090171E" w:rsidP="00A12228">
      <w:pPr>
        <w:spacing w:after="240" w:line="276" w:lineRule="auto"/>
        <w:jc w:val="both"/>
        <w:rPr>
          <w:rFonts w:ascii="Arial" w:hAnsi="Arial" w:cs="Arial"/>
          <w:lang w:val="hr-HR"/>
        </w:rPr>
      </w:pPr>
      <w:r w:rsidRPr="00EF4AAB">
        <w:rPr>
          <w:rFonts w:ascii="Arial" w:hAnsi="Arial" w:cs="Arial"/>
          <w:lang w:val="hr-HR"/>
        </w:rPr>
        <w:lastRenderedPageBreak/>
        <w:t xml:space="preserve">Uzimajući u obzir raspodjelu po spolu u strukturi </w:t>
      </w:r>
      <w:r w:rsidR="00344DB8" w:rsidRPr="00EF4AAB">
        <w:rPr>
          <w:rFonts w:ascii="Arial" w:hAnsi="Arial" w:cs="Arial"/>
          <w:lang w:val="hr-HR"/>
        </w:rPr>
        <w:t>radn</w:t>
      </w:r>
      <w:r w:rsidRPr="00EF4AAB">
        <w:rPr>
          <w:rFonts w:ascii="Arial" w:hAnsi="Arial" w:cs="Arial"/>
          <w:lang w:val="hr-HR"/>
        </w:rPr>
        <w:t xml:space="preserve">ica i </w:t>
      </w:r>
      <w:r w:rsidR="00344DB8" w:rsidRPr="00EF4AAB">
        <w:rPr>
          <w:rFonts w:ascii="Arial" w:hAnsi="Arial" w:cs="Arial"/>
          <w:lang w:val="hr-HR"/>
        </w:rPr>
        <w:t>rad</w:t>
      </w:r>
      <w:r w:rsidRPr="00EF4AAB">
        <w:rPr>
          <w:rFonts w:ascii="Arial" w:hAnsi="Arial" w:cs="Arial"/>
          <w:lang w:val="hr-HR"/>
        </w:rPr>
        <w:t>nika prema radnom mjestu koje izvršavaju, situacija u Agenciji prikazana je u sljedećoj slici:</w:t>
      </w:r>
    </w:p>
    <w:p w14:paraId="47511C2A" w14:textId="6D0F3CFD" w:rsidR="0090171E" w:rsidRPr="00EF4AAB" w:rsidRDefault="0090171E" w:rsidP="0090171E">
      <w:pPr>
        <w:pStyle w:val="Caption"/>
        <w:spacing w:after="120"/>
        <w:jc w:val="center"/>
        <w:rPr>
          <w:rFonts w:ascii="Arial" w:hAnsi="Arial" w:cs="Arial"/>
          <w:lang w:val="hr-HR"/>
        </w:rPr>
      </w:pPr>
      <w:r w:rsidRPr="00EF4AAB">
        <w:rPr>
          <w:rFonts w:ascii="Arial" w:hAnsi="Arial" w:cs="Arial"/>
          <w:lang w:val="hr-HR"/>
        </w:rPr>
        <w:t xml:space="preserve">Slika 3. Raspodjela </w:t>
      </w:r>
      <w:r w:rsidR="00C352A2" w:rsidRPr="00EF4AAB">
        <w:rPr>
          <w:rFonts w:ascii="Arial" w:hAnsi="Arial" w:cs="Arial"/>
          <w:lang w:val="hr-HR"/>
        </w:rPr>
        <w:t>rad</w:t>
      </w:r>
      <w:r w:rsidRPr="00EF4AAB">
        <w:rPr>
          <w:rFonts w:ascii="Arial" w:hAnsi="Arial" w:cs="Arial"/>
          <w:lang w:val="hr-HR"/>
        </w:rPr>
        <w:t xml:space="preserve">nica i </w:t>
      </w:r>
      <w:r w:rsidR="00C352A2" w:rsidRPr="00EF4AAB">
        <w:rPr>
          <w:rFonts w:ascii="Arial" w:hAnsi="Arial" w:cs="Arial"/>
          <w:lang w:val="hr-HR"/>
        </w:rPr>
        <w:t>rad</w:t>
      </w:r>
      <w:r w:rsidRPr="00EF4AAB">
        <w:rPr>
          <w:rFonts w:ascii="Arial" w:hAnsi="Arial" w:cs="Arial"/>
          <w:lang w:val="hr-HR"/>
        </w:rPr>
        <w:t>nika po spolu - radno mjesto</w:t>
      </w:r>
    </w:p>
    <w:p w14:paraId="67E30C09" w14:textId="268D3D39" w:rsidR="00FF49A2" w:rsidRPr="00EF4AAB" w:rsidRDefault="0090171E" w:rsidP="00AC095F">
      <w:pPr>
        <w:spacing w:after="360"/>
        <w:jc w:val="center"/>
        <w:rPr>
          <w:lang w:val="hr-HR"/>
        </w:rPr>
      </w:pPr>
      <w:r w:rsidRPr="00E800F9">
        <w:rPr>
          <w:noProof/>
          <w:lang w:val="en-GB" w:eastAsia="en-GB"/>
        </w:rPr>
        <w:drawing>
          <wp:inline distT="0" distB="0" distL="0" distR="0" wp14:anchorId="5AE496B5" wp14:editId="57D4A52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EC0617" w14:textId="71912270" w:rsidR="0090171E" w:rsidRPr="00EF4AAB" w:rsidRDefault="0090171E" w:rsidP="00A12228">
      <w:pPr>
        <w:spacing w:after="240" w:line="276" w:lineRule="auto"/>
        <w:jc w:val="both"/>
        <w:rPr>
          <w:rFonts w:ascii="Arial" w:hAnsi="Arial" w:cs="Arial"/>
          <w:lang w:val="hr-HR"/>
        </w:rPr>
      </w:pPr>
      <w:r w:rsidRPr="00EF4AAB">
        <w:rPr>
          <w:rFonts w:ascii="Arial" w:hAnsi="Arial" w:cs="Arial"/>
          <w:lang w:val="hr-HR"/>
        </w:rPr>
        <w:t xml:space="preserve">U službama kao najvećim ustrojstvenim jedinicama Agencije i Uredu ravnatelja, raspodjela </w:t>
      </w:r>
      <w:r w:rsidR="00EA534C" w:rsidRPr="00EF4AAB">
        <w:rPr>
          <w:rFonts w:ascii="Arial" w:hAnsi="Arial" w:cs="Arial"/>
          <w:lang w:val="hr-HR"/>
        </w:rPr>
        <w:t>radnica</w:t>
      </w:r>
      <w:r w:rsidRPr="00EF4AAB">
        <w:rPr>
          <w:rFonts w:ascii="Arial" w:hAnsi="Arial" w:cs="Arial"/>
          <w:lang w:val="hr-HR"/>
        </w:rPr>
        <w:t xml:space="preserve"> i </w:t>
      </w:r>
      <w:r w:rsidR="00EA534C" w:rsidRPr="00EF4AAB">
        <w:rPr>
          <w:rFonts w:ascii="Arial" w:hAnsi="Arial" w:cs="Arial"/>
          <w:lang w:val="hr-HR"/>
        </w:rPr>
        <w:t>radnika</w:t>
      </w:r>
      <w:r w:rsidRPr="00EF4AAB">
        <w:rPr>
          <w:rFonts w:ascii="Arial" w:hAnsi="Arial" w:cs="Arial"/>
          <w:lang w:val="hr-HR"/>
        </w:rPr>
        <w:t xml:space="preserve"> po spolu prikazana je na Slici 4.</w:t>
      </w:r>
    </w:p>
    <w:p w14:paraId="0FB2607F" w14:textId="7909FA4A" w:rsidR="0090171E" w:rsidRPr="00EF4AAB" w:rsidRDefault="0090171E" w:rsidP="0090171E">
      <w:pPr>
        <w:pStyle w:val="Caption"/>
        <w:spacing w:after="120"/>
        <w:jc w:val="center"/>
        <w:rPr>
          <w:rFonts w:ascii="Arial" w:hAnsi="Arial" w:cs="Arial"/>
          <w:lang w:val="hr-HR"/>
        </w:rPr>
      </w:pPr>
      <w:r w:rsidRPr="00EF4AAB">
        <w:rPr>
          <w:rFonts w:ascii="Arial" w:hAnsi="Arial" w:cs="Arial"/>
          <w:lang w:val="hr-HR"/>
        </w:rPr>
        <w:t xml:space="preserve">Slika 4. Raspodjela </w:t>
      </w:r>
      <w:r w:rsidR="00EA534C" w:rsidRPr="00EF4AAB">
        <w:rPr>
          <w:rFonts w:ascii="Arial" w:hAnsi="Arial" w:cs="Arial"/>
          <w:lang w:val="hr-HR"/>
        </w:rPr>
        <w:t>rad</w:t>
      </w:r>
      <w:r w:rsidRPr="00EF4AAB">
        <w:rPr>
          <w:rFonts w:ascii="Arial" w:hAnsi="Arial" w:cs="Arial"/>
          <w:lang w:val="hr-HR"/>
        </w:rPr>
        <w:t xml:space="preserve">nica i </w:t>
      </w:r>
      <w:r w:rsidR="00EA534C" w:rsidRPr="00EF4AAB">
        <w:rPr>
          <w:rFonts w:ascii="Arial" w:hAnsi="Arial" w:cs="Arial"/>
          <w:lang w:val="hr-HR"/>
        </w:rPr>
        <w:t>rad</w:t>
      </w:r>
      <w:r w:rsidRPr="00EF4AAB">
        <w:rPr>
          <w:rFonts w:ascii="Arial" w:hAnsi="Arial" w:cs="Arial"/>
          <w:lang w:val="hr-HR"/>
        </w:rPr>
        <w:t>nika po spolu unutar službi i Ureda ravnatelja</w:t>
      </w:r>
    </w:p>
    <w:p w14:paraId="492CAE32" w14:textId="77777777" w:rsidR="0090171E" w:rsidRPr="00EF4AAB" w:rsidRDefault="0090171E" w:rsidP="0090171E">
      <w:pPr>
        <w:jc w:val="center"/>
        <w:rPr>
          <w:lang w:val="hr-HR"/>
        </w:rPr>
      </w:pPr>
      <w:r w:rsidRPr="00E800F9">
        <w:rPr>
          <w:noProof/>
          <w:lang w:val="en-GB" w:eastAsia="en-GB"/>
        </w:rPr>
        <w:drawing>
          <wp:inline distT="0" distB="0" distL="0" distR="0" wp14:anchorId="75DEC576" wp14:editId="773683D4">
            <wp:extent cx="4680000" cy="2880000"/>
            <wp:effectExtent l="0" t="0" r="635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2387A2" w14:textId="77777777" w:rsidR="0090171E" w:rsidRPr="00EF4AAB" w:rsidRDefault="0090171E" w:rsidP="0090171E">
      <w:pPr>
        <w:rPr>
          <w:lang w:val="hr-HR"/>
        </w:rPr>
      </w:pPr>
      <w:r w:rsidRPr="00EF4AAB">
        <w:rPr>
          <w:lang w:val="hr-HR"/>
        </w:rPr>
        <w:br w:type="page"/>
      </w:r>
    </w:p>
    <w:p w14:paraId="322ADCFB" w14:textId="0FA868BA" w:rsidR="00FF49A2" w:rsidRPr="00EF4AAB" w:rsidRDefault="0090171E" w:rsidP="004E25D3">
      <w:pPr>
        <w:spacing w:after="240" w:line="276" w:lineRule="auto"/>
        <w:jc w:val="both"/>
        <w:rPr>
          <w:rFonts w:ascii="Arial" w:hAnsi="Arial" w:cs="Arial"/>
          <w:lang w:val="hr-HR"/>
        </w:rPr>
      </w:pPr>
      <w:r w:rsidRPr="00EF4AAB">
        <w:rPr>
          <w:rFonts w:ascii="Arial" w:hAnsi="Arial" w:cs="Arial"/>
          <w:lang w:val="hr-HR"/>
        </w:rPr>
        <w:lastRenderedPageBreak/>
        <w:t xml:space="preserve">Na sljedećoj slici prikazani su pojedini aspekti radnog odnosa uzimajući u obzir raspodjelu po spolu. Iz prikaza možemo zaključiti da nema značajnije razlike u distribuciji </w:t>
      </w:r>
      <w:r w:rsidR="00EA534C" w:rsidRPr="00EF4AAB">
        <w:rPr>
          <w:rFonts w:ascii="Arial" w:hAnsi="Arial" w:cs="Arial"/>
          <w:lang w:val="hr-HR"/>
        </w:rPr>
        <w:t>rad</w:t>
      </w:r>
      <w:r w:rsidRPr="00EF4AAB">
        <w:rPr>
          <w:rFonts w:ascii="Arial" w:hAnsi="Arial" w:cs="Arial"/>
          <w:lang w:val="hr-HR"/>
        </w:rPr>
        <w:t xml:space="preserve">nica i </w:t>
      </w:r>
      <w:r w:rsidR="00EA534C" w:rsidRPr="00EF4AAB">
        <w:rPr>
          <w:rFonts w:ascii="Arial" w:hAnsi="Arial" w:cs="Arial"/>
          <w:lang w:val="hr-HR"/>
        </w:rPr>
        <w:t>rad</w:t>
      </w:r>
      <w:r w:rsidRPr="00EF4AAB">
        <w:rPr>
          <w:rFonts w:ascii="Arial" w:hAnsi="Arial" w:cs="Arial"/>
          <w:lang w:val="hr-HR"/>
        </w:rPr>
        <w:t>nika zaposlenih na ugovor na neodređeno vrijeme. Kod ugovora na određeno vrijeme</w:t>
      </w:r>
      <w:r w:rsidR="00D0177C">
        <w:rPr>
          <w:rFonts w:ascii="Arial" w:hAnsi="Arial" w:cs="Arial"/>
          <w:lang w:val="hr-HR"/>
        </w:rPr>
        <w:t>,</w:t>
      </w:r>
      <w:r w:rsidRPr="00EF4AAB">
        <w:rPr>
          <w:rFonts w:ascii="Arial" w:hAnsi="Arial" w:cs="Arial"/>
          <w:lang w:val="hr-HR"/>
        </w:rPr>
        <w:t xml:space="preserve"> primjetan je neznatno veći udio muškaraca u odnosu na opću distribuciju </w:t>
      </w:r>
      <w:r w:rsidR="00C94684" w:rsidRPr="00EF4AAB">
        <w:rPr>
          <w:rFonts w:ascii="Arial" w:hAnsi="Arial" w:cs="Arial"/>
          <w:lang w:val="hr-HR"/>
        </w:rPr>
        <w:t>radnika</w:t>
      </w:r>
      <w:r w:rsidRPr="00EF4AAB">
        <w:rPr>
          <w:rFonts w:ascii="Arial" w:hAnsi="Arial" w:cs="Arial"/>
          <w:lang w:val="hr-HR"/>
        </w:rPr>
        <w:t xml:space="preserve"> po spolu. </w:t>
      </w:r>
      <w:r w:rsidR="00D0177C">
        <w:rPr>
          <w:rFonts w:ascii="Arial" w:hAnsi="Arial" w:cs="Arial"/>
          <w:lang w:val="hr-HR"/>
        </w:rPr>
        <w:t>S</w:t>
      </w:r>
      <w:r w:rsidRPr="00EF4AAB">
        <w:rPr>
          <w:rFonts w:ascii="Arial" w:hAnsi="Arial" w:cs="Arial"/>
          <w:lang w:val="hr-HR"/>
        </w:rPr>
        <w:t xml:space="preserve">ituacija je slična uzimajući u obzir </w:t>
      </w:r>
      <w:r w:rsidR="00192152">
        <w:rPr>
          <w:rFonts w:ascii="Arial" w:hAnsi="Arial" w:cs="Arial"/>
          <w:lang w:val="hr-HR"/>
        </w:rPr>
        <w:t xml:space="preserve">i </w:t>
      </w:r>
      <w:r w:rsidRPr="00EF4AAB">
        <w:rPr>
          <w:rFonts w:ascii="Arial" w:hAnsi="Arial" w:cs="Arial"/>
          <w:lang w:val="hr-HR"/>
        </w:rPr>
        <w:t>zapošljavanja u 2021. godini. U kontekstu Plana ravnopravnosti spolova, u obuhvat analize uzeti su i prestanci radnog odnosa te korištenje rodiljnih i roditeljskih dopusta u 2021. godini. U obje ove kategorije zastupljene su isključivo žene (Slika 5.)</w:t>
      </w:r>
      <w:r w:rsidR="00C94684" w:rsidRPr="00EF4AAB">
        <w:rPr>
          <w:rFonts w:ascii="Arial" w:hAnsi="Arial" w:cs="Arial"/>
          <w:lang w:val="hr-HR"/>
        </w:rPr>
        <w:t>.</w:t>
      </w:r>
    </w:p>
    <w:p w14:paraId="6DF39FF3" w14:textId="63765085" w:rsidR="0090171E" w:rsidRPr="00EF4AAB" w:rsidRDefault="0090171E" w:rsidP="0090171E">
      <w:pPr>
        <w:pStyle w:val="Caption"/>
        <w:spacing w:after="120"/>
        <w:jc w:val="center"/>
        <w:rPr>
          <w:rFonts w:ascii="Arial" w:hAnsi="Arial" w:cs="Arial"/>
          <w:lang w:val="hr-HR"/>
        </w:rPr>
      </w:pPr>
      <w:r w:rsidRPr="00EF4AAB">
        <w:rPr>
          <w:rFonts w:ascii="Arial" w:hAnsi="Arial" w:cs="Arial"/>
          <w:lang w:val="hr-HR"/>
        </w:rPr>
        <w:t xml:space="preserve">Slika 5. Raspodjela </w:t>
      </w:r>
      <w:r w:rsidR="00C94684" w:rsidRPr="00EF4AAB">
        <w:rPr>
          <w:rFonts w:ascii="Arial" w:hAnsi="Arial" w:cs="Arial"/>
          <w:lang w:val="hr-HR"/>
        </w:rPr>
        <w:t>rad</w:t>
      </w:r>
      <w:r w:rsidRPr="00EF4AAB">
        <w:rPr>
          <w:rFonts w:ascii="Arial" w:hAnsi="Arial" w:cs="Arial"/>
          <w:lang w:val="hr-HR"/>
        </w:rPr>
        <w:t xml:space="preserve">nica i </w:t>
      </w:r>
      <w:r w:rsidR="00C94684" w:rsidRPr="00EF4AAB">
        <w:rPr>
          <w:rFonts w:ascii="Arial" w:hAnsi="Arial" w:cs="Arial"/>
          <w:lang w:val="hr-HR"/>
        </w:rPr>
        <w:t>rad</w:t>
      </w:r>
      <w:r w:rsidRPr="00EF4AAB">
        <w:rPr>
          <w:rFonts w:ascii="Arial" w:hAnsi="Arial" w:cs="Arial"/>
          <w:lang w:val="hr-HR"/>
        </w:rPr>
        <w:t>nika po spolu - aspekti radnog odnosa</w:t>
      </w:r>
    </w:p>
    <w:p w14:paraId="364C2863" w14:textId="77777777" w:rsidR="0090171E" w:rsidRPr="00EF4AAB" w:rsidRDefault="0090171E" w:rsidP="0090171E">
      <w:pPr>
        <w:spacing w:after="360"/>
        <w:jc w:val="center"/>
        <w:rPr>
          <w:lang w:val="hr-HR"/>
        </w:rPr>
      </w:pPr>
      <w:r w:rsidRPr="00E800F9">
        <w:rPr>
          <w:noProof/>
          <w:lang w:val="en-GB" w:eastAsia="en-GB"/>
        </w:rPr>
        <w:drawing>
          <wp:inline distT="0" distB="0" distL="0" distR="0" wp14:anchorId="7E38CA5C" wp14:editId="27ED1B30">
            <wp:extent cx="5040000" cy="2880000"/>
            <wp:effectExtent l="0" t="0" r="825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B6223A" w14:textId="15047445" w:rsidR="0090171E" w:rsidRPr="00EF4AAB" w:rsidRDefault="0090171E" w:rsidP="004E25D3">
      <w:pPr>
        <w:spacing w:after="120" w:line="276" w:lineRule="auto"/>
        <w:jc w:val="both"/>
        <w:rPr>
          <w:rFonts w:ascii="Arial" w:hAnsi="Arial" w:cs="Arial"/>
          <w:lang w:val="hr-HR"/>
        </w:rPr>
      </w:pPr>
      <w:r w:rsidRPr="00EF4AAB">
        <w:rPr>
          <w:rFonts w:ascii="Arial" w:hAnsi="Arial" w:cs="Arial"/>
          <w:lang w:val="hr-HR"/>
        </w:rPr>
        <w:t xml:space="preserve">U svrhu istraživanja </w:t>
      </w:r>
      <w:r w:rsidRPr="00EF4AAB">
        <w:rPr>
          <w:rFonts w:ascii="Arial" w:hAnsi="Arial" w:cs="Arial"/>
          <w:b/>
          <w:lang w:val="hr-HR"/>
        </w:rPr>
        <w:t>organizacijske klime</w:t>
      </w:r>
      <w:r w:rsidRPr="00EF4AAB">
        <w:rPr>
          <w:rFonts w:ascii="Arial" w:hAnsi="Arial" w:cs="Arial"/>
          <w:lang w:val="hr-HR"/>
        </w:rPr>
        <w:t>, Radna skupina za izradu Plana ravnopravnosti spolova pripremila je anonimni upitnik kojem je cilj bio istražiti stavove i iskustva na radnom mjestu vezan</w:t>
      </w:r>
      <w:r w:rsidR="007002D2">
        <w:rPr>
          <w:rFonts w:ascii="Arial" w:hAnsi="Arial" w:cs="Arial"/>
          <w:lang w:val="hr-HR"/>
        </w:rPr>
        <w:t>a</w:t>
      </w:r>
      <w:r w:rsidRPr="00EF4AAB">
        <w:rPr>
          <w:rFonts w:ascii="Arial" w:hAnsi="Arial" w:cs="Arial"/>
          <w:lang w:val="hr-HR"/>
        </w:rPr>
        <w:t xml:space="preserve"> za temu ravnopravnosti spolova. U istraživanju koje je provedeno od 31. siječnja do 17. veljače 2022.</w:t>
      </w:r>
      <w:r w:rsidR="007002D2">
        <w:rPr>
          <w:rFonts w:ascii="Arial" w:hAnsi="Arial" w:cs="Arial"/>
          <w:lang w:val="hr-HR"/>
        </w:rPr>
        <w:t xml:space="preserve"> godine</w:t>
      </w:r>
      <w:r w:rsidRPr="00EF4AAB">
        <w:rPr>
          <w:rFonts w:ascii="Arial" w:hAnsi="Arial" w:cs="Arial"/>
          <w:lang w:val="hr-HR"/>
        </w:rPr>
        <w:t xml:space="preserve"> sudjelovalo je 46 </w:t>
      </w:r>
      <w:r w:rsidR="00C94684" w:rsidRPr="00EF4AAB">
        <w:rPr>
          <w:rFonts w:ascii="Arial" w:hAnsi="Arial" w:cs="Arial"/>
          <w:lang w:val="hr-HR"/>
        </w:rPr>
        <w:t>radnica i radnika</w:t>
      </w:r>
      <w:r w:rsidRPr="00EF4AAB">
        <w:rPr>
          <w:rFonts w:ascii="Arial" w:hAnsi="Arial" w:cs="Arial"/>
          <w:lang w:val="hr-HR"/>
        </w:rPr>
        <w:t xml:space="preserve">. </w:t>
      </w:r>
      <w:r w:rsidRPr="00EF4AAB">
        <w:rPr>
          <w:rFonts w:ascii="Arial" w:hAnsi="Arial" w:cs="Arial"/>
          <w:b/>
          <w:lang w:val="hr-HR"/>
        </w:rPr>
        <w:t xml:space="preserve">Cilj istraživanja organizacijske klime bio je uključiti sve </w:t>
      </w:r>
      <w:r w:rsidR="00C94684" w:rsidRPr="00EF4AAB">
        <w:rPr>
          <w:rFonts w:ascii="Arial" w:hAnsi="Arial" w:cs="Arial"/>
          <w:b/>
          <w:lang w:val="hr-HR"/>
        </w:rPr>
        <w:t>radnike</w:t>
      </w:r>
      <w:r w:rsidRPr="00EF4AAB">
        <w:rPr>
          <w:rFonts w:ascii="Arial" w:hAnsi="Arial" w:cs="Arial"/>
          <w:b/>
          <w:lang w:val="hr-HR"/>
        </w:rPr>
        <w:t xml:space="preserve"> u proces izrade Plana ravnopravnosti spolova, na način da sugestijama i prijedlozima u pojedinim dijelovima upitnika daju svoj doprinos. </w:t>
      </w:r>
      <w:r w:rsidR="007002D2">
        <w:rPr>
          <w:rFonts w:ascii="Arial" w:hAnsi="Arial" w:cs="Arial"/>
          <w:lang w:val="hr-HR"/>
        </w:rPr>
        <w:t>N</w:t>
      </w:r>
      <w:r w:rsidRPr="00EF4AAB">
        <w:rPr>
          <w:rFonts w:ascii="Arial" w:hAnsi="Arial" w:cs="Arial"/>
          <w:lang w:val="hr-HR"/>
        </w:rPr>
        <w:t xml:space="preserve">avedeno istraživanje poslužilo je Radnoj skupini </w:t>
      </w:r>
      <w:r w:rsidR="007002D2">
        <w:rPr>
          <w:rFonts w:ascii="Arial" w:hAnsi="Arial" w:cs="Arial"/>
          <w:lang w:val="hr-HR"/>
        </w:rPr>
        <w:t xml:space="preserve">i </w:t>
      </w:r>
      <w:r w:rsidRPr="00EF4AAB">
        <w:rPr>
          <w:rFonts w:ascii="Arial" w:hAnsi="Arial" w:cs="Arial"/>
          <w:lang w:val="hr-HR"/>
        </w:rPr>
        <w:t>kao predložak za formuliranje konkretnih mjera u Planu ravnopravnosti spolova.</w:t>
      </w:r>
    </w:p>
    <w:p w14:paraId="404BD0C1" w14:textId="278935E8" w:rsidR="00AC095F" w:rsidRPr="00EF4AAB" w:rsidRDefault="0090171E" w:rsidP="004E25D3">
      <w:pPr>
        <w:spacing w:after="120" w:line="276" w:lineRule="auto"/>
        <w:jc w:val="both"/>
        <w:rPr>
          <w:rFonts w:ascii="Arial" w:hAnsi="Arial" w:cs="Arial"/>
          <w:lang w:val="hr-HR"/>
        </w:rPr>
      </w:pPr>
      <w:r w:rsidRPr="00EF4AAB">
        <w:rPr>
          <w:rFonts w:ascii="Arial" w:hAnsi="Arial" w:cs="Arial"/>
          <w:lang w:val="hr-HR"/>
        </w:rPr>
        <w:t>Iz odgovora prikupljenih upitnikom</w:t>
      </w:r>
      <w:r w:rsidR="007002D2">
        <w:rPr>
          <w:rFonts w:ascii="Arial" w:hAnsi="Arial" w:cs="Arial"/>
          <w:lang w:val="hr-HR"/>
        </w:rPr>
        <w:t>,</w:t>
      </w:r>
      <w:r w:rsidRPr="00EF4AAB">
        <w:rPr>
          <w:rFonts w:ascii="Arial" w:hAnsi="Arial" w:cs="Arial"/>
          <w:lang w:val="hr-HR"/>
        </w:rPr>
        <w:t xml:space="preserve"> jasan je izostanak rigidnih stavova vezanih za rodne stereotipe što govori u prilog </w:t>
      </w:r>
      <w:r w:rsidRPr="00EF4AAB">
        <w:rPr>
          <w:rFonts w:ascii="Arial" w:hAnsi="Arial" w:cs="Arial"/>
          <w:b/>
          <w:lang w:val="hr-HR"/>
        </w:rPr>
        <w:t>organizacijske kulture koja njeguje otvorenost i prihvaćanje različitosti</w:t>
      </w:r>
      <w:r w:rsidRPr="00EF4AAB">
        <w:rPr>
          <w:rFonts w:ascii="Arial" w:hAnsi="Arial" w:cs="Arial"/>
          <w:lang w:val="hr-HR"/>
        </w:rPr>
        <w:t xml:space="preserve">. Sudionice i sudionici istraživanja izrazili su zainteresiranost za tematiku ravnopravnosti spolova u radnoj okolini, ali i u širem društvenom kontekstu. </w:t>
      </w:r>
      <w:r w:rsidR="00031828">
        <w:rPr>
          <w:rFonts w:ascii="Arial" w:hAnsi="Arial" w:cs="Arial"/>
          <w:lang w:val="hr-HR"/>
        </w:rPr>
        <w:t>I</w:t>
      </w:r>
      <w:r w:rsidRPr="00EF4AAB">
        <w:rPr>
          <w:rFonts w:ascii="Arial" w:hAnsi="Arial" w:cs="Arial"/>
          <w:lang w:val="hr-HR"/>
        </w:rPr>
        <w:t xml:space="preserve">straživanje je pokazalo </w:t>
      </w:r>
      <w:r w:rsidR="00031828">
        <w:rPr>
          <w:rFonts w:ascii="Arial" w:hAnsi="Arial" w:cs="Arial"/>
          <w:lang w:val="hr-HR"/>
        </w:rPr>
        <w:t xml:space="preserve">i </w:t>
      </w:r>
      <w:r w:rsidRPr="00EF4AAB">
        <w:rPr>
          <w:rFonts w:ascii="Arial" w:hAnsi="Arial" w:cs="Arial"/>
          <w:b/>
          <w:lang w:val="hr-HR"/>
        </w:rPr>
        <w:t>dominantno pozitivna iskustva vezana za ravnopravnost spolova</w:t>
      </w:r>
      <w:r w:rsidRPr="00EF4AAB">
        <w:rPr>
          <w:rFonts w:ascii="Arial" w:hAnsi="Arial" w:cs="Arial"/>
          <w:lang w:val="hr-HR"/>
        </w:rPr>
        <w:t xml:space="preserve"> u Agenciji te zadovoljstvo trenut</w:t>
      </w:r>
      <w:r w:rsidR="00C94684" w:rsidRPr="00EF4AAB">
        <w:rPr>
          <w:rFonts w:ascii="Arial" w:hAnsi="Arial" w:cs="Arial"/>
          <w:lang w:val="hr-HR"/>
        </w:rPr>
        <w:t>ač</w:t>
      </w:r>
      <w:r w:rsidRPr="00EF4AAB">
        <w:rPr>
          <w:rFonts w:ascii="Arial" w:hAnsi="Arial" w:cs="Arial"/>
          <w:lang w:val="hr-HR"/>
        </w:rPr>
        <w:t>nim stanjem.</w:t>
      </w:r>
    </w:p>
    <w:p w14:paraId="1332CC0B" w14:textId="638F110D" w:rsidR="0090171E" w:rsidRPr="00EF4AAB" w:rsidRDefault="00AC095F" w:rsidP="00AC095F">
      <w:pPr>
        <w:rPr>
          <w:rFonts w:ascii="Arial" w:hAnsi="Arial" w:cs="Arial"/>
          <w:lang w:val="hr-HR"/>
        </w:rPr>
      </w:pPr>
      <w:r w:rsidRPr="00EF4AAB">
        <w:rPr>
          <w:rFonts w:ascii="Arial" w:hAnsi="Arial" w:cs="Arial"/>
          <w:lang w:val="hr-HR"/>
        </w:rPr>
        <w:br w:type="page"/>
      </w:r>
    </w:p>
    <w:p w14:paraId="3794531B" w14:textId="77777777" w:rsidR="0090171E" w:rsidRPr="00EF4AAB" w:rsidRDefault="0090171E" w:rsidP="004E25D3">
      <w:pPr>
        <w:spacing w:line="276" w:lineRule="auto"/>
        <w:jc w:val="both"/>
        <w:rPr>
          <w:rFonts w:ascii="Arial" w:hAnsi="Arial" w:cs="Arial"/>
          <w:color w:val="323130"/>
          <w:shd w:val="clear" w:color="auto" w:fill="FFFFFF"/>
          <w:lang w:val="hr-HR"/>
        </w:rPr>
      </w:pPr>
      <w:r w:rsidRPr="00EF4AAB">
        <w:rPr>
          <w:rFonts w:ascii="Arial" w:hAnsi="Arial" w:cs="Arial"/>
          <w:lang w:val="hr-HR"/>
        </w:rPr>
        <w:lastRenderedPageBreak/>
        <w:t>K</w:t>
      </w:r>
      <w:r w:rsidRPr="00EF4AAB">
        <w:rPr>
          <w:rFonts w:ascii="Arial" w:hAnsi="Arial" w:cs="Arial"/>
          <w:shd w:val="clear" w:color="auto" w:fill="FFFFFF"/>
          <w:lang w:val="hr-HR"/>
        </w:rPr>
        <w:t>ako bi se dodatno unaprijedila ravnopravnost spolova u Agenciji, odgovori sudionica i sudionika istraživanja sugeriraju</w:t>
      </w:r>
      <w:r w:rsidRPr="00EF4AAB">
        <w:rPr>
          <w:rFonts w:ascii="Arial" w:hAnsi="Arial" w:cs="Arial"/>
          <w:color w:val="323130"/>
          <w:shd w:val="clear" w:color="auto" w:fill="FFFFFF"/>
          <w:lang w:val="hr-HR"/>
        </w:rPr>
        <w:t>:</w:t>
      </w:r>
    </w:p>
    <w:p w14:paraId="5045083A" w14:textId="33BEC39A" w:rsidR="0090171E" w:rsidRPr="00EF4AAB" w:rsidRDefault="0090171E" w:rsidP="004E25D3">
      <w:pPr>
        <w:pStyle w:val="ListParagraph"/>
        <w:numPr>
          <w:ilvl w:val="0"/>
          <w:numId w:val="9"/>
        </w:numPr>
        <w:spacing w:line="276" w:lineRule="auto"/>
        <w:jc w:val="both"/>
        <w:rPr>
          <w:rFonts w:ascii="Arial" w:hAnsi="Arial" w:cs="Arial"/>
          <w:lang w:val="hr-HR"/>
        </w:rPr>
      </w:pPr>
      <w:r w:rsidRPr="00EF4AAB">
        <w:rPr>
          <w:rFonts w:ascii="Arial" w:hAnsi="Arial" w:cs="Arial"/>
          <w:lang w:val="hr-HR"/>
        </w:rPr>
        <w:t xml:space="preserve">veću </w:t>
      </w:r>
      <w:r w:rsidRPr="00EF4AAB">
        <w:rPr>
          <w:rFonts w:ascii="Arial" w:hAnsi="Arial" w:cs="Arial"/>
          <w:b/>
          <w:lang w:val="hr-HR"/>
        </w:rPr>
        <w:t>fleksibilnost rada</w:t>
      </w:r>
      <w:r w:rsidRPr="00EF4AAB">
        <w:rPr>
          <w:rStyle w:val="FootnoteReference"/>
          <w:rFonts w:ascii="Arial" w:hAnsi="Arial" w:cs="Arial"/>
          <w:lang w:val="hr-HR"/>
        </w:rPr>
        <w:footnoteReference w:id="2"/>
      </w:r>
      <w:r w:rsidRPr="00EF4AAB">
        <w:rPr>
          <w:rFonts w:ascii="Arial" w:hAnsi="Arial" w:cs="Arial"/>
          <w:lang w:val="hr-HR"/>
        </w:rPr>
        <w:t xml:space="preserve"> formaliziranu u internim procedurama u svrhu boljeg usklađivanja poslovnog i privatnog života za roditelje i skrbnike te sve ostale </w:t>
      </w:r>
      <w:r w:rsidR="00C94684" w:rsidRPr="00EF4AAB">
        <w:rPr>
          <w:rFonts w:ascii="Arial" w:hAnsi="Arial" w:cs="Arial"/>
          <w:lang w:val="hr-HR"/>
        </w:rPr>
        <w:t>rad</w:t>
      </w:r>
      <w:r w:rsidRPr="00EF4AAB">
        <w:rPr>
          <w:rFonts w:ascii="Arial" w:hAnsi="Arial" w:cs="Arial"/>
          <w:lang w:val="hr-HR"/>
        </w:rPr>
        <w:t xml:space="preserve">nice i </w:t>
      </w:r>
      <w:r w:rsidR="00C94684" w:rsidRPr="00EF4AAB">
        <w:rPr>
          <w:rFonts w:ascii="Arial" w:hAnsi="Arial" w:cs="Arial"/>
          <w:lang w:val="hr-HR"/>
        </w:rPr>
        <w:t>rad</w:t>
      </w:r>
      <w:r w:rsidRPr="00EF4AAB">
        <w:rPr>
          <w:rFonts w:ascii="Arial" w:hAnsi="Arial" w:cs="Arial"/>
          <w:lang w:val="hr-HR"/>
        </w:rPr>
        <w:t>nike</w:t>
      </w:r>
    </w:p>
    <w:p w14:paraId="0359759C" w14:textId="77777777" w:rsidR="0090171E" w:rsidRPr="00EF4AAB" w:rsidRDefault="0090171E" w:rsidP="004E25D3">
      <w:pPr>
        <w:pStyle w:val="ListParagraph"/>
        <w:numPr>
          <w:ilvl w:val="0"/>
          <w:numId w:val="9"/>
        </w:numPr>
        <w:spacing w:line="276" w:lineRule="auto"/>
        <w:jc w:val="both"/>
        <w:rPr>
          <w:rFonts w:ascii="Arial" w:hAnsi="Arial" w:cs="Arial"/>
          <w:lang w:val="hr-HR"/>
        </w:rPr>
      </w:pPr>
      <w:r w:rsidRPr="00EF4AAB">
        <w:rPr>
          <w:rFonts w:ascii="Arial" w:hAnsi="Arial" w:cs="Arial"/>
          <w:lang w:val="hr-HR"/>
        </w:rPr>
        <w:t xml:space="preserve">daljnje njegovanje </w:t>
      </w:r>
      <w:r w:rsidRPr="00EF4AAB">
        <w:rPr>
          <w:rFonts w:ascii="Arial" w:hAnsi="Arial" w:cs="Arial"/>
          <w:b/>
          <w:lang w:val="hr-HR"/>
        </w:rPr>
        <w:t>kulture otvorenosti</w:t>
      </w:r>
      <w:r w:rsidRPr="00EF4AAB">
        <w:rPr>
          <w:rFonts w:ascii="Arial" w:hAnsi="Arial" w:cs="Arial"/>
          <w:lang w:val="hr-HR"/>
        </w:rPr>
        <w:t xml:space="preserve"> prema kolegicama i kolegama svih generacija i opredjeljenja koja rezultira njihovom većom povezanosti </w:t>
      </w:r>
    </w:p>
    <w:p w14:paraId="4231F36B" w14:textId="7105CE4A" w:rsidR="00C352A2" w:rsidRPr="00EF4AAB" w:rsidRDefault="0090171E" w:rsidP="004E25D3">
      <w:pPr>
        <w:pStyle w:val="ListParagraph"/>
        <w:numPr>
          <w:ilvl w:val="0"/>
          <w:numId w:val="9"/>
        </w:numPr>
        <w:spacing w:line="276" w:lineRule="auto"/>
        <w:jc w:val="both"/>
        <w:rPr>
          <w:rFonts w:ascii="Arial" w:hAnsi="Arial" w:cs="Arial"/>
          <w:lang w:val="hr-HR"/>
        </w:rPr>
      </w:pPr>
      <w:r w:rsidRPr="00EF4AAB">
        <w:rPr>
          <w:rFonts w:ascii="Arial" w:hAnsi="Arial" w:cs="Arial"/>
          <w:b/>
          <w:lang w:val="hr-HR"/>
        </w:rPr>
        <w:t>organiziranje edukacija i primjenu primjera dobrih praksi</w:t>
      </w:r>
      <w:r w:rsidRPr="00EF4AAB">
        <w:rPr>
          <w:rFonts w:ascii="Arial" w:hAnsi="Arial" w:cs="Arial"/>
          <w:lang w:val="hr-HR"/>
        </w:rPr>
        <w:t xml:space="preserve"> iz javnog i korporativnog sektora povezanih s područjem ravnopravnosti spolova.</w:t>
      </w:r>
    </w:p>
    <w:p w14:paraId="4D8B9C36" w14:textId="77777777" w:rsidR="004333F1" w:rsidRPr="00EF4AAB" w:rsidRDefault="004333F1" w:rsidP="0025708B">
      <w:pPr>
        <w:pStyle w:val="Heading2"/>
        <w:rPr>
          <w:rFonts w:ascii="Arial" w:hAnsi="Arial" w:cs="Arial"/>
          <w:lang w:val="hr-HR"/>
        </w:rPr>
        <w:sectPr w:rsidR="004333F1" w:rsidRPr="00EF4AAB" w:rsidSect="007B7126">
          <w:headerReference w:type="default" r:id="rId22"/>
          <w:footerReference w:type="default" r:id="rId23"/>
          <w:headerReference w:type="first" r:id="rId24"/>
          <w:pgSz w:w="11900" w:h="16840"/>
          <w:pgMar w:top="1440" w:right="1800" w:bottom="1440" w:left="1800" w:header="708" w:footer="708" w:gutter="0"/>
          <w:cols w:space="708"/>
          <w:titlePg/>
          <w:docGrid w:linePitch="299"/>
        </w:sectPr>
      </w:pPr>
    </w:p>
    <w:p w14:paraId="34BC00CF" w14:textId="76E288F3" w:rsidR="004333F1" w:rsidRPr="00EF4AAB" w:rsidRDefault="0025708B" w:rsidP="004333F1">
      <w:pPr>
        <w:pStyle w:val="Heading2"/>
        <w:spacing w:before="0" w:after="120"/>
        <w:rPr>
          <w:rFonts w:ascii="Times New Roman" w:eastAsia="Times New Roman" w:hAnsi="Times New Roman" w:cs="Times New Roman"/>
          <w:color w:val="auto"/>
          <w:sz w:val="16"/>
          <w:szCs w:val="16"/>
          <w:lang w:val="hr-HR"/>
        </w:rPr>
      </w:pPr>
      <w:r w:rsidRPr="00EF4AAB">
        <w:rPr>
          <w:rFonts w:ascii="Arial" w:hAnsi="Arial" w:cs="Arial"/>
          <w:lang w:val="hr-HR"/>
        </w:rPr>
        <w:lastRenderedPageBreak/>
        <w:t xml:space="preserve">4. </w:t>
      </w:r>
      <w:r w:rsidR="00A65713" w:rsidRPr="00EF4AAB">
        <w:rPr>
          <w:rFonts w:ascii="Arial" w:hAnsi="Arial" w:cs="Arial"/>
          <w:lang w:val="hr-HR"/>
        </w:rPr>
        <w:t>Mjere Plana</w:t>
      </w:r>
      <w:r w:rsidR="004333F1" w:rsidRPr="00EF4AAB">
        <w:rPr>
          <w:rFonts w:ascii="Arial" w:hAnsi="Arial" w:cs="Arial"/>
          <w:lang w:val="hr-HR"/>
        </w:rPr>
        <w:t xml:space="preserve"> </w:t>
      </w:r>
      <w:r w:rsidRPr="00EF4AAB">
        <w:rPr>
          <w:rFonts w:ascii="Arial" w:hAnsi="Arial" w:cs="Arial"/>
          <w:lang w:val="hr-HR"/>
        </w:rPr>
        <w:t>r</w:t>
      </w:r>
      <w:r w:rsidR="00A65713" w:rsidRPr="00EF4AAB">
        <w:rPr>
          <w:rFonts w:ascii="Arial" w:hAnsi="Arial" w:cs="Arial"/>
          <w:lang w:val="hr-HR"/>
        </w:rPr>
        <w:t>avnopravnosti spolova</w:t>
      </w:r>
    </w:p>
    <w:tbl>
      <w:tblPr>
        <w:tblStyle w:val="TableGrid"/>
        <w:tblW w:w="15163" w:type="dxa"/>
        <w:jc w:val="center"/>
        <w:tblLook w:val="04A0" w:firstRow="1" w:lastRow="0" w:firstColumn="1" w:lastColumn="0" w:noHBand="0" w:noVBand="1"/>
      </w:tblPr>
      <w:tblGrid>
        <w:gridCol w:w="2830"/>
        <w:gridCol w:w="3119"/>
        <w:gridCol w:w="3402"/>
        <w:gridCol w:w="2977"/>
        <w:gridCol w:w="2835"/>
      </w:tblGrid>
      <w:tr w:rsidR="00AD584F" w:rsidRPr="00EF4AAB" w14:paraId="7F161743" w14:textId="77777777" w:rsidTr="00AD584F">
        <w:trPr>
          <w:trHeight w:hRule="exact" w:val="397"/>
          <w:jc w:val="center"/>
        </w:trPr>
        <w:tc>
          <w:tcPr>
            <w:tcW w:w="2830" w:type="dxa"/>
            <w:shd w:val="clear" w:color="auto" w:fill="0099CC"/>
            <w:vAlign w:val="center"/>
          </w:tcPr>
          <w:p w14:paraId="0F66767D" w14:textId="77777777" w:rsidR="004333F1" w:rsidRPr="00EF4AAB" w:rsidRDefault="004333F1" w:rsidP="00AA2BFF">
            <w:pPr>
              <w:jc w:val="center"/>
              <w:rPr>
                <w:rFonts w:ascii="Arial" w:hAnsi="Arial" w:cs="Arial"/>
                <w:b/>
                <w:bCs/>
                <w:color w:val="FFFFFF" w:themeColor="background1"/>
              </w:rPr>
            </w:pPr>
            <w:r w:rsidRPr="00EF4AAB">
              <w:rPr>
                <w:rFonts w:ascii="Arial" w:hAnsi="Arial" w:cs="Arial"/>
                <w:b/>
                <w:bCs/>
                <w:color w:val="FFFFFF" w:themeColor="background1"/>
              </w:rPr>
              <w:t>Mjera</w:t>
            </w:r>
          </w:p>
        </w:tc>
        <w:tc>
          <w:tcPr>
            <w:tcW w:w="3119" w:type="dxa"/>
            <w:shd w:val="clear" w:color="auto" w:fill="0099CC"/>
            <w:vAlign w:val="center"/>
          </w:tcPr>
          <w:p w14:paraId="68DC4398" w14:textId="77777777" w:rsidR="004333F1" w:rsidRPr="00EF4AAB" w:rsidRDefault="004333F1" w:rsidP="00AA2BFF">
            <w:pPr>
              <w:jc w:val="center"/>
              <w:rPr>
                <w:rFonts w:ascii="Arial" w:hAnsi="Arial" w:cs="Arial"/>
                <w:b/>
                <w:bCs/>
                <w:color w:val="FFFFFF" w:themeColor="background1"/>
              </w:rPr>
            </w:pPr>
            <w:r w:rsidRPr="00EF4AAB">
              <w:rPr>
                <w:rFonts w:ascii="Arial" w:hAnsi="Arial" w:cs="Arial"/>
                <w:b/>
                <w:bCs/>
                <w:color w:val="FFFFFF" w:themeColor="background1"/>
              </w:rPr>
              <w:t>Ciljevi</w:t>
            </w:r>
          </w:p>
        </w:tc>
        <w:tc>
          <w:tcPr>
            <w:tcW w:w="3402" w:type="dxa"/>
            <w:shd w:val="clear" w:color="auto" w:fill="0099CC"/>
            <w:vAlign w:val="center"/>
          </w:tcPr>
          <w:p w14:paraId="651A022C" w14:textId="77777777" w:rsidR="004333F1" w:rsidRPr="00EF4AAB" w:rsidRDefault="004333F1" w:rsidP="00AA2BFF">
            <w:pPr>
              <w:jc w:val="center"/>
              <w:rPr>
                <w:rFonts w:ascii="Arial" w:hAnsi="Arial" w:cs="Arial"/>
                <w:b/>
                <w:bCs/>
                <w:color w:val="FFFFFF" w:themeColor="background1"/>
              </w:rPr>
            </w:pPr>
            <w:r w:rsidRPr="00EF4AAB">
              <w:rPr>
                <w:rFonts w:ascii="Arial" w:hAnsi="Arial" w:cs="Arial"/>
                <w:b/>
                <w:bCs/>
                <w:color w:val="FFFFFF" w:themeColor="background1"/>
              </w:rPr>
              <w:t>Planirane aktivnosti</w:t>
            </w:r>
          </w:p>
        </w:tc>
        <w:tc>
          <w:tcPr>
            <w:tcW w:w="2977" w:type="dxa"/>
            <w:shd w:val="clear" w:color="auto" w:fill="0099CC"/>
            <w:vAlign w:val="center"/>
          </w:tcPr>
          <w:p w14:paraId="31D237AA" w14:textId="77777777" w:rsidR="004333F1" w:rsidRPr="00EF4AAB" w:rsidRDefault="004333F1" w:rsidP="00AA2BFF">
            <w:pPr>
              <w:jc w:val="center"/>
              <w:rPr>
                <w:rFonts w:ascii="Arial" w:hAnsi="Arial" w:cs="Arial"/>
                <w:b/>
                <w:bCs/>
                <w:color w:val="FFFFFF" w:themeColor="background1"/>
              </w:rPr>
            </w:pPr>
            <w:r w:rsidRPr="00EF4AAB">
              <w:rPr>
                <w:rFonts w:ascii="Arial" w:hAnsi="Arial" w:cs="Arial"/>
                <w:b/>
                <w:bCs/>
                <w:color w:val="FFFFFF" w:themeColor="background1"/>
              </w:rPr>
              <w:t>Vremenski okvir</w:t>
            </w:r>
          </w:p>
        </w:tc>
        <w:tc>
          <w:tcPr>
            <w:tcW w:w="2835" w:type="dxa"/>
            <w:shd w:val="clear" w:color="auto" w:fill="0099CC"/>
            <w:vAlign w:val="center"/>
          </w:tcPr>
          <w:p w14:paraId="68AE3AE3" w14:textId="77777777" w:rsidR="004333F1" w:rsidRPr="00EF4AAB" w:rsidRDefault="004333F1" w:rsidP="00AA2BFF">
            <w:pPr>
              <w:jc w:val="center"/>
              <w:rPr>
                <w:rFonts w:ascii="Arial" w:hAnsi="Arial" w:cs="Arial"/>
                <w:b/>
                <w:bCs/>
                <w:color w:val="FFFFFF" w:themeColor="background1"/>
              </w:rPr>
            </w:pPr>
            <w:r w:rsidRPr="00EF4AAB">
              <w:rPr>
                <w:rFonts w:ascii="Arial" w:hAnsi="Arial" w:cs="Arial"/>
                <w:b/>
                <w:bCs/>
                <w:color w:val="FFFFFF" w:themeColor="background1"/>
              </w:rPr>
              <w:t>Institucionalni resursi</w:t>
            </w:r>
          </w:p>
        </w:tc>
      </w:tr>
      <w:tr w:rsidR="004333F1" w:rsidRPr="00EF4AAB" w14:paraId="4677399C" w14:textId="77777777" w:rsidTr="000643EF">
        <w:trPr>
          <w:trHeight w:hRule="exact" w:val="5670"/>
          <w:jc w:val="center"/>
        </w:trPr>
        <w:tc>
          <w:tcPr>
            <w:tcW w:w="2830" w:type="dxa"/>
            <w:vAlign w:val="center"/>
          </w:tcPr>
          <w:p w14:paraId="0D876EC3" w14:textId="65F672C1" w:rsidR="004333F1" w:rsidRPr="00EF4AAB" w:rsidRDefault="004333F1" w:rsidP="00AA2BFF">
            <w:pPr>
              <w:rPr>
                <w:rFonts w:ascii="Arial" w:hAnsi="Arial" w:cs="Arial"/>
              </w:rPr>
            </w:pPr>
            <w:r w:rsidRPr="00EF4AAB">
              <w:rPr>
                <w:rFonts w:ascii="Arial" w:hAnsi="Arial" w:cs="Arial"/>
              </w:rPr>
              <w:t xml:space="preserve">1. Uspostava Radne skupine za ravnopravnost spolova </w:t>
            </w:r>
          </w:p>
        </w:tc>
        <w:tc>
          <w:tcPr>
            <w:tcW w:w="3119" w:type="dxa"/>
            <w:vAlign w:val="center"/>
          </w:tcPr>
          <w:p w14:paraId="126695EB" w14:textId="15DDA8BA" w:rsidR="003A2B5E" w:rsidRDefault="004333F1" w:rsidP="00AA2BFF">
            <w:pPr>
              <w:rPr>
                <w:rFonts w:ascii="Arial" w:hAnsi="Arial" w:cs="Arial"/>
              </w:rPr>
            </w:pPr>
            <w:r w:rsidRPr="00EF4AAB">
              <w:rPr>
                <w:rFonts w:ascii="Arial" w:hAnsi="Arial" w:cs="Arial"/>
              </w:rPr>
              <w:t xml:space="preserve">- </w:t>
            </w:r>
            <w:r w:rsidR="003A2B5E">
              <w:rPr>
                <w:rFonts w:ascii="Arial" w:hAnsi="Arial" w:cs="Arial"/>
              </w:rPr>
              <w:t>uspostava Radne skupine nadležne za praćenje provedbe Plana ravnopravnosti spolova</w:t>
            </w:r>
          </w:p>
          <w:p w14:paraId="1FB0E76A" w14:textId="59BC5A9B" w:rsidR="004333F1" w:rsidRPr="00EF4AAB" w:rsidRDefault="003A2B5E" w:rsidP="00AA2BFF">
            <w:pPr>
              <w:rPr>
                <w:rFonts w:ascii="Arial" w:hAnsi="Arial" w:cs="Arial"/>
              </w:rPr>
            </w:pPr>
            <w:r>
              <w:rPr>
                <w:rFonts w:ascii="Arial" w:hAnsi="Arial" w:cs="Arial"/>
              </w:rPr>
              <w:t xml:space="preserve">- </w:t>
            </w:r>
            <w:r w:rsidR="004333F1" w:rsidRPr="00EF4AAB">
              <w:rPr>
                <w:rFonts w:ascii="Arial" w:hAnsi="Arial" w:cs="Arial"/>
              </w:rPr>
              <w:t>osiguravanje trajne skrbi o provedbi mjera ovoga Plana</w:t>
            </w:r>
            <w:r>
              <w:rPr>
                <w:rFonts w:ascii="Arial" w:hAnsi="Arial" w:cs="Arial"/>
              </w:rPr>
              <w:t xml:space="preserve"> i prema potrebi, revidiranju i unaprjeđenju mjera tijekom trajanja provedbe ovog Plana</w:t>
            </w:r>
            <w:r w:rsidR="004333F1" w:rsidRPr="00EF4AAB">
              <w:rPr>
                <w:rFonts w:ascii="Arial" w:hAnsi="Arial" w:cs="Arial"/>
              </w:rPr>
              <w:t xml:space="preserve"> </w:t>
            </w:r>
          </w:p>
          <w:p w14:paraId="60AA864D" w14:textId="77777777" w:rsidR="004333F1" w:rsidRPr="00EF4AAB" w:rsidRDefault="004333F1" w:rsidP="00AA2BFF">
            <w:pPr>
              <w:rPr>
                <w:rFonts w:ascii="Arial" w:hAnsi="Arial" w:cs="Arial"/>
              </w:rPr>
            </w:pPr>
            <w:r w:rsidRPr="00EF4AAB">
              <w:rPr>
                <w:rFonts w:ascii="Arial" w:hAnsi="Arial" w:cs="Arial"/>
              </w:rPr>
              <w:t>- praćenje provedbe mjera u suradnji s nadležnim ustrojstvenim jedinicama</w:t>
            </w:r>
          </w:p>
          <w:p w14:paraId="08EF2C0A" w14:textId="77777777" w:rsidR="004333F1" w:rsidRPr="00EF4AAB" w:rsidRDefault="004333F1" w:rsidP="00AA2BFF">
            <w:pPr>
              <w:rPr>
                <w:rFonts w:ascii="Arial" w:hAnsi="Arial" w:cs="Arial"/>
              </w:rPr>
            </w:pPr>
            <w:r w:rsidRPr="00EF4AAB">
              <w:rPr>
                <w:rFonts w:ascii="Arial" w:hAnsi="Arial" w:cs="Arial"/>
              </w:rPr>
              <w:t>- evaluacija postojećega Plana i izrada prijedloga novoga Plana na kraju ovog provedbenog razdoblja</w:t>
            </w:r>
          </w:p>
          <w:p w14:paraId="5A793CF8" w14:textId="77777777" w:rsidR="004333F1" w:rsidRPr="00EF4AAB" w:rsidRDefault="004333F1" w:rsidP="00AA2BFF">
            <w:pPr>
              <w:rPr>
                <w:rFonts w:ascii="Arial" w:hAnsi="Arial" w:cs="Arial"/>
              </w:rPr>
            </w:pPr>
            <w:r w:rsidRPr="00EF4AAB">
              <w:rPr>
                <w:rFonts w:ascii="Arial" w:hAnsi="Arial" w:cs="Arial"/>
              </w:rPr>
              <w:t>- praćenje podataka o radnicama i radnicima razvrstanih prema spolu</w:t>
            </w:r>
          </w:p>
        </w:tc>
        <w:tc>
          <w:tcPr>
            <w:tcW w:w="3402" w:type="dxa"/>
            <w:vAlign w:val="center"/>
          </w:tcPr>
          <w:p w14:paraId="7824DEEA" w14:textId="19D4B473" w:rsidR="004333F1" w:rsidRPr="00EF4AAB" w:rsidRDefault="004333F1" w:rsidP="00AA2BFF">
            <w:pPr>
              <w:rPr>
                <w:rFonts w:ascii="Arial" w:hAnsi="Arial" w:cs="Arial"/>
              </w:rPr>
            </w:pPr>
            <w:r w:rsidRPr="00EF4AAB">
              <w:rPr>
                <w:rFonts w:ascii="Arial" w:hAnsi="Arial" w:cs="Arial"/>
              </w:rPr>
              <w:t xml:space="preserve">- </w:t>
            </w:r>
            <w:r w:rsidR="00B020C2" w:rsidRPr="00EF4AAB">
              <w:rPr>
                <w:rFonts w:ascii="Arial" w:hAnsi="Arial" w:cs="Arial"/>
              </w:rPr>
              <w:t>polugodišnji</w:t>
            </w:r>
            <w:r w:rsidRPr="00EF4AAB">
              <w:rPr>
                <w:rFonts w:ascii="Arial" w:hAnsi="Arial" w:cs="Arial"/>
              </w:rPr>
              <w:t xml:space="preserve"> sastanci u sastavu Radne skupine i s predstavnicima nadležnih ustrojstvenih jedinica u svrhu dogovora i praćenja provedbe mjera</w:t>
            </w:r>
          </w:p>
          <w:p w14:paraId="3988BBA2" w14:textId="77777777" w:rsidR="004333F1" w:rsidRPr="00EF4AAB" w:rsidRDefault="004333F1" w:rsidP="00AA2BFF">
            <w:pPr>
              <w:rPr>
                <w:rFonts w:ascii="Arial" w:hAnsi="Arial" w:cs="Arial"/>
              </w:rPr>
            </w:pPr>
            <w:r w:rsidRPr="00EF4AAB">
              <w:rPr>
                <w:rFonts w:ascii="Arial" w:hAnsi="Arial" w:cs="Arial"/>
              </w:rPr>
              <w:t>- godišnje prikupljanje podataka o radnicama i radnicima razvrstanih po spolu</w:t>
            </w:r>
          </w:p>
        </w:tc>
        <w:tc>
          <w:tcPr>
            <w:tcW w:w="2977" w:type="dxa"/>
            <w:vAlign w:val="center"/>
          </w:tcPr>
          <w:p w14:paraId="4D92FCCF" w14:textId="6860AD47" w:rsidR="004333F1" w:rsidRPr="00EF4AAB" w:rsidRDefault="004333F1" w:rsidP="00AA2BFF">
            <w:pPr>
              <w:rPr>
                <w:rFonts w:ascii="Arial" w:hAnsi="Arial" w:cs="Arial"/>
              </w:rPr>
            </w:pPr>
            <w:r w:rsidRPr="00EF4AAB">
              <w:rPr>
                <w:rFonts w:ascii="Arial" w:hAnsi="Arial" w:cs="Arial"/>
              </w:rPr>
              <w:t>- uspostava skupine: 2. kvartal 2022.</w:t>
            </w:r>
            <w:r w:rsidR="00944616">
              <w:rPr>
                <w:rFonts w:ascii="Arial" w:hAnsi="Arial" w:cs="Arial"/>
              </w:rPr>
              <w:t xml:space="preserve"> godine</w:t>
            </w:r>
          </w:p>
          <w:p w14:paraId="1AF96B91" w14:textId="0EAF1C8B" w:rsidR="004333F1" w:rsidRPr="00EF4AAB" w:rsidRDefault="004333F1" w:rsidP="00AA2BFF">
            <w:pPr>
              <w:rPr>
                <w:rFonts w:ascii="Arial" w:hAnsi="Arial" w:cs="Arial"/>
              </w:rPr>
            </w:pPr>
            <w:r w:rsidRPr="00EF4AAB">
              <w:rPr>
                <w:rFonts w:ascii="Arial" w:hAnsi="Arial" w:cs="Arial"/>
              </w:rPr>
              <w:t>- provedba aktivnosti: 2. kvartal 2022.</w:t>
            </w:r>
            <w:r w:rsidR="00944616">
              <w:t xml:space="preserve"> – </w:t>
            </w:r>
            <w:r w:rsidRPr="00EF4AAB">
              <w:rPr>
                <w:rFonts w:ascii="Arial" w:hAnsi="Arial" w:cs="Arial"/>
              </w:rPr>
              <w:t>2026.</w:t>
            </w:r>
            <w:r w:rsidR="00944616">
              <w:rPr>
                <w:rFonts w:ascii="Arial" w:hAnsi="Arial" w:cs="Arial"/>
              </w:rPr>
              <w:t xml:space="preserve"> godine</w:t>
            </w:r>
          </w:p>
          <w:p w14:paraId="6DA04F66" w14:textId="62DAF425" w:rsidR="004333F1" w:rsidRPr="00EF4AAB" w:rsidRDefault="004333F1" w:rsidP="00AA2BFF">
            <w:pPr>
              <w:rPr>
                <w:rFonts w:ascii="Arial" w:hAnsi="Arial" w:cs="Arial"/>
              </w:rPr>
            </w:pPr>
            <w:r w:rsidRPr="00EF4AAB">
              <w:rPr>
                <w:rFonts w:ascii="Arial" w:hAnsi="Arial" w:cs="Arial"/>
              </w:rPr>
              <w:t>- evaluacija postojećega i izrada prijedloga novog Plana: u 2025.</w:t>
            </w:r>
            <w:r w:rsidR="00B020C2" w:rsidRPr="00EF4AAB">
              <w:rPr>
                <w:rFonts w:ascii="Arial" w:hAnsi="Arial" w:cs="Arial"/>
              </w:rPr>
              <w:t>/2026.</w:t>
            </w:r>
            <w:r w:rsidR="00944616">
              <w:rPr>
                <w:rFonts w:ascii="Arial" w:hAnsi="Arial" w:cs="Arial"/>
              </w:rPr>
              <w:t xml:space="preserve"> godini</w:t>
            </w:r>
          </w:p>
          <w:p w14:paraId="3A12DEF6" w14:textId="6E687EA4" w:rsidR="004333F1" w:rsidRPr="00EF4AAB" w:rsidRDefault="004333F1" w:rsidP="00AA2BFF">
            <w:pPr>
              <w:rPr>
                <w:rFonts w:ascii="Arial" w:hAnsi="Arial" w:cs="Arial"/>
              </w:rPr>
            </w:pPr>
            <w:r w:rsidRPr="00EF4AAB">
              <w:rPr>
                <w:rFonts w:ascii="Arial" w:hAnsi="Arial" w:cs="Arial"/>
              </w:rPr>
              <w:t xml:space="preserve">- periodični statistički sažetak: </w:t>
            </w:r>
            <w:r w:rsidR="00944616">
              <w:rPr>
                <w:rFonts w:ascii="Arial" w:hAnsi="Arial" w:cs="Arial"/>
              </w:rPr>
              <w:t>jedanput</w:t>
            </w:r>
            <w:r w:rsidRPr="00EF4AAB">
              <w:rPr>
                <w:rFonts w:ascii="Arial" w:hAnsi="Arial" w:cs="Arial"/>
              </w:rPr>
              <w:t xml:space="preserve"> godišnje</w:t>
            </w:r>
          </w:p>
        </w:tc>
        <w:tc>
          <w:tcPr>
            <w:tcW w:w="2835" w:type="dxa"/>
            <w:vAlign w:val="center"/>
          </w:tcPr>
          <w:p w14:paraId="01005438" w14:textId="23A724B9" w:rsidR="004333F1" w:rsidRPr="00EF4AAB" w:rsidRDefault="004333F1" w:rsidP="00AA2BFF">
            <w:pPr>
              <w:rPr>
                <w:rFonts w:ascii="Arial" w:hAnsi="Arial" w:cs="Arial"/>
              </w:rPr>
            </w:pPr>
            <w:r w:rsidRPr="00EF4AAB">
              <w:rPr>
                <w:rFonts w:ascii="Arial" w:hAnsi="Arial" w:cs="Arial"/>
              </w:rPr>
              <w:t>- Radna skupina s predstavnicima ustrojstvenih jedinica nadležnih za kadrovske poslove i poslove razvoja ljudskih potencijala, programske poslove i upravljanje</w:t>
            </w:r>
          </w:p>
          <w:p w14:paraId="04AB9B73" w14:textId="77777777" w:rsidR="004333F1" w:rsidRPr="00EF4AAB" w:rsidRDefault="004333F1" w:rsidP="00AA2BFF">
            <w:pPr>
              <w:rPr>
                <w:rFonts w:ascii="Arial" w:hAnsi="Arial" w:cs="Arial"/>
              </w:rPr>
            </w:pPr>
            <w:r w:rsidRPr="00EF4AAB">
              <w:rPr>
                <w:rFonts w:ascii="Arial" w:hAnsi="Arial" w:cs="Arial"/>
              </w:rPr>
              <w:t xml:space="preserve">- angažman nadležnih ustrojstvenih jedinica </w:t>
            </w:r>
          </w:p>
        </w:tc>
      </w:tr>
      <w:tr w:rsidR="004333F1" w:rsidRPr="000643EF" w14:paraId="28D242AB" w14:textId="77777777" w:rsidTr="00AA2BFF">
        <w:trPr>
          <w:trHeight w:hRule="exact" w:val="3686"/>
          <w:jc w:val="center"/>
        </w:trPr>
        <w:tc>
          <w:tcPr>
            <w:tcW w:w="2830" w:type="dxa"/>
            <w:vAlign w:val="center"/>
          </w:tcPr>
          <w:p w14:paraId="66E9E8CC" w14:textId="4A0D97D0" w:rsidR="004333F1" w:rsidRPr="00EF4AAB" w:rsidRDefault="004333F1" w:rsidP="00AA2BFF">
            <w:pPr>
              <w:rPr>
                <w:rFonts w:ascii="Arial" w:hAnsi="Arial" w:cs="Arial"/>
              </w:rPr>
            </w:pPr>
            <w:r w:rsidRPr="00EF4AAB">
              <w:rPr>
                <w:rFonts w:ascii="Arial" w:hAnsi="Arial" w:cs="Arial"/>
              </w:rPr>
              <w:lastRenderedPageBreak/>
              <w:t xml:space="preserve">2. Osiguravanje lakšeg i preglednog pristupa informacijama vezano </w:t>
            </w:r>
            <w:r w:rsidR="00DA501B">
              <w:rPr>
                <w:rFonts w:ascii="Arial" w:hAnsi="Arial" w:cs="Arial"/>
              </w:rPr>
              <w:t>za</w:t>
            </w:r>
            <w:r w:rsidRPr="00EF4AAB">
              <w:rPr>
                <w:rFonts w:ascii="Arial" w:hAnsi="Arial" w:cs="Arial"/>
              </w:rPr>
              <w:t xml:space="preserve"> relevantne institucionalne procedure i prakse koje se tiču zaštite od diskriminacije, spolnog uznemiravanja i mehanizama usklađivanja potreba privatnog i poslovnog života</w:t>
            </w:r>
          </w:p>
        </w:tc>
        <w:tc>
          <w:tcPr>
            <w:tcW w:w="3119" w:type="dxa"/>
            <w:vAlign w:val="center"/>
          </w:tcPr>
          <w:p w14:paraId="3694D3DE" w14:textId="77777777" w:rsidR="004333F1" w:rsidRPr="00EF4AAB" w:rsidRDefault="004333F1" w:rsidP="00AA2BFF">
            <w:pPr>
              <w:rPr>
                <w:rFonts w:ascii="Arial" w:hAnsi="Arial" w:cs="Arial"/>
              </w:rPr>
            </w:pPr>
            <w:r w:rsidRPr="00EF4AAB">
              <w:rPr>
                <w:rFonts w:ascii="Arial" w:hAnsi="Arial" w:cs="Arial"/>
              </w:rPr>
              <w:t>- kratkoročni: veća jasnoća u pogledu prava radnika i prethodno uspostavljenih procedura i praksi</w:t>
            </w:r>
          </w:p>
          <w:p w14:paraId="0690CBDC" w14:textId="77777777" w:rsidR="004333F1" w:rsidRPr="00EF4AAB" w:rsidRDefault="004333F1" w:rsidP="00AA2BFF">
            <w:pPr>
              <w:rPr>
                <w:rFonts w:ascii="Arial" w:hAnsi="Arial" w:cs="Arial"/>
              </w:rPr>
            </w:pPr>
            <w:r w:rsidRPr="00EF4AAB">
              <w:rPr>
                <w:rFonts w:ascii="Arial" w:hAnsi="Arial" w:cs="Arial"/>
              </w:rPr>
              <w:t>- dugoročni: kontinuirano osiguravanje jednostavnog pristupa relevantnim informacijama svim radnicima te potpora radnicima u usklađivanju poslovnog i privatnog života</w:t>
            </w:r>
          </w:p>
        </w:tc>
        <w:tc>
          <w:tcPr>
            <w:tcW w:w="3402" w:type="dxa"/>
            <w:vAlign w:val="center"/>
          </w:tcPr>
          <w:p w14:paraId="7BE97316" w14:textId="77777777" w:rsidR="004333F1" w:rsidRPr="00EF4AAB" w:rsidRDefault="004333F1" w:rsidP="00AA2BFF">
            <w:pPr>
              <w:rPr>
                <w:rFonts w:ascii="Arial" w:hAnsi="Arial" w:cs="Arial"/>
              </w:rPr>
            </w:pPr>
            <w:r w:rsidRPr="00EF4AAB">
              <w:rPr>
                <w:rFonts w:ascii="Arial" w:hAnsi="Arial" w:cs="Arial"/>
              </w:rPr>
              <w:t>- vidljiv i pregledan pristup relevantnim informacijama na intranetu Agencije</w:t>
            </w:r>
          </w:p>
          <w:p w14:paraId="45F10DBA" w14:textId="77777777" w:rsidR="004333F1" w:rsidRPr="00EF4AAB" w:rsidRDefault="004333F1" w:rsidP="00AA2BFF">
            <w:pPr>
              <w:rPr>
                <w:rFonts w:ascii="Arial" w:hAnsi="Arial" w:cs="Arial"/>
              </w:rPr>
            </w:pPr>
            <w:r w:rsidRPr="00EF4AAB">
              <w:rPr>
                <w:rFonts w:ascii="Arial" w:hAnsi="Arial" w:cs="Arial"/>
              </w:rPr>
              <w:t xml:space="preserve">- periodična objava pregleda relevantnih informacija u tjednom agencijskom glasilu i putem internog </w:t>
            </w:r>
            <w:r w:rsidRPr="00E800F9">
              <w:rPr>
                <w:rFonts w:ascii="Arial" w:hAnsi="Arial" w:cs="Arial"/>
                <w:i/>
                <w:iCs/>
              </w:rPr>
              <w:t xml:space="preserve">Teams </w:t>
            </w:r>
            <w:r w:rsidRPr="00EF4AAB">
              <w:rPr>
                <w:rFonts w:ascii="Arial" w:hAnsi="Arial" w:cs="Arial"/>
              </w:rPr>
              <w:t>kanala za radnike</w:t>
            </w:r>
          </w:p>
          <w:p w14:paraId="4BA8606D" w14:textId="77777777" w:rsidR="004333F1" w:rsidRPr="00EF4AAB" w:rsidRDefault="004333F1" w:rsidP="00AA2BFF">
            <w:pPr>
              <w:rPr>
                <w:rFonts w:ascii="Arial" w:hAnsi="Arial" w:cs="Arial"/>
              </w:rPr>
            </w:pPr>
            <w:r w:rsidRPr="00EF4AAB">
              <w:rPr>
                <w:rFonts w:ascii="Arial" w:hAnsi="Arial" w:cs="Arial"/>
              </w:rPr>
              <w:t>- uvrštavanje relevantnih informacija u početne module osposobljavanja za nove radnike</w:t>
            </w:r>
          </w:p>
        </w:tc>
        <w:tc>
          <w:tcPr>
            <w:tcW w:w="2977" w:type="dxa"/>
            <w:vAlign w:val="center"/>
          </w:tcPr>
          <w:p w14:paraId="158816DC" w14:textId="307F39C7" w:rsidR="004333F1" w:rsidRPr="00EF4AAB" w:rsidRDefault="004333F1" w:rsidP="00AA2BFF">
            <w:pPr>
              <w:rPr>
                <w:rFonts w:ascii="Arial" w:hAnsi="Arial" w:cs="Arial"/>
              </w:rPr>
            </w:pPr>
            <w:r w:rsidRPr="00EF4AAB">
              <w:rPr>
                <w:rFonts w:ascii="Arial" w:hAnsi="Arial" w:cs="Arial"/>
              </w:rPr>
              <w:t>- vidljiv i pregledan pristup na intranetu Agencije: 3. kvartal 2022.</w:t>
            </w:r>
            <w:r w:rsidR="00944616">
              <w:rPr>
                <w:rFonts w:ascii="Arial" w:hAnsi="Arial" w:cs="Arial"/>
              </w:rPr>
              <w:t xml:space="preserve"> godine</w:t>
            </w:r>
          </w:p>
          <w:p w14:paraId="20E1A08F" w14:textId="7B4751CC" w:rsidR="004333F1" w:rsidRPr="00EF4AAB" w:rsidRDefault="004333F1" w:rsidP="00AA2BFF">
            <w:pPr>
              <w:rPr>
                <w:rFonts w:ascii="Arial" w:hAnsi="Arial" w:cs="Arial"/>
              </w:rPr>
            </w:pPr>
            <w:r w:rsidRPr="00EF4AAB">
              <w:rPr>
                <w:rFonts w:ascii="Arial" w:hAnsi="Arial" w:cs="Arial"/>
              </w:rPr>
              <w:t xml:space="preserve">- periodične objave: </w:t>
            </w:r>
            <w:r w:rsidR="00944616">
              <w:rPr>
                <w:rFonts w:ascii="Arial" w:hAnsi="Arial" w:cs="Arial"/>
              </w:rPr>
              <w:t>jedanput</w:t>
            </w:r>
            <w:r w:rsidRPr="00EF4AAB">
              <w:rPr>
                <w:rFonts w:ascii="Arial" w:hAnsi="Arial" w:cs="Arial"/>
              </w:rPr>
              <w:t xml:space="preserve"> godišnje tijekom provedbe Plana 2022.</w:t>
            </w:r>
            <w:r w:rsidR="00DA501B">
              <w:t xml:space="preserve"> – </w:t>
            </w:r>
            <w:r w:rsidRPr="00EF4AAB">
              <w:rPr>
                <w:rFonts w:ascii="Arial" w:hAnsi="Arial" w:cs="Arial"/>
              </w:rPr>
              <w:t>2026.</w:t>
            </w:r>
            <w:r w:rsidR="00944616">
              <w:rPr>
                <w:rFonts w:ascii="Arial" w:hAnsi="Arial" w:cs="Arial"/>
              </w:rPr>
              <w:t xml:space="preserve"> godine</w:t>
            </w:r>
          </w:p>
          <w:p w14:paraId="0AD94EFE" w14:textId="42CF5659" w:rsidR="004333F1" w:rsidRPr="00EF4AAB" w:rsidRDefault="004333F1" w:rsidP="00AA2BFF">
            <w:pPr>
              <w:rPr>
                <w:rFonts w:ascii="Arial" w:hAnsi="Arial" w:cs="Arial"/>
              </w:rPr>
            </w:pPr>
            <w:r w:rsidRPr="00EF4AAB">
              <w:rPr>
                <w:rFonts w:ascii="Arial" w:hAnsi="Arial" w:cs="Arial"/>
              </w:rPr>
              <w:t>- uvrštavanje relevantnih informacija u početne module: 4. kvartal 2022.</w:t>
            </w:r>
            <w:r w:rsidR="00944616">
              <w:rPr>
                <w:rFonts w:ascii="Arial" w:hAnsi="Arial" w:cs="Arial"/>
              </w:rPr>
              <w:t xml:space="preserve"> godine</w:t>
            </w:r>
          </w:p>
        </w:tc>
        <w:tc>
          <w:tcPr>
            <w:tcW w:w="2835" w:type="dxa"/>
            <w:vAlign w:val="center"/>
          </w:tcPr>
          <w:p w14:paraId="4DB80CDC" w14:textId="77777777" w:rsidR="004333F1" w:rsidRPr="00EF4AAB" w:rsidRDefault="004333F1" w:rsidP="00AA2BFF">
            <w:pPr>
              <w:rPr>
                <w:rFonts w:ascii="Arial" w:hAnsi="Arial" w:cs="Arial"/>
              </w:rPr>
            </w:pPr>
            <w:r w:rsidRPr="00EF4AAB">
              <w:rPr>
                <w:rFonts w:ascii="Arial" w:hAnsi="Arial" w:cs="Arial"/>
              </w:rPr>
              <w:t>- radnici nadležni za kadrovske poslove i poslove razvoja ljudskih potencijala</w:t>
            </w:r>
          </w:p>
        </w:tc>
      </w:tr>
      <w:tr w:rsidR="004333F1" w:rsidRPr="000643EF" w14:paraId="31174DAE" w14:textId="77777777" w:rsidTr="00E4587B">
        <w:trPr>
          <w:trHeight w:hRule="exact" w:val="2412"/>
          <w:jc w:val="center"/>
        </w:trPr>
        <w:tc>
          <w:tcPr>
            <w:tcW w:w="2830" w:type="dxa"/>
            <w:vAlign w:val="center"/>
          </w:tcPr>
          <w:p w14:paraId="25545F6F" w14:textId="77777777" w:rsidR="004333F1" w:rsidRPr="00EF4AAB" w:rsidRDefault="004333F1" w:rsidP="00AA2BFF">
            <w:pPr>
              <w:rPr>
                <w:rFonts w:ascii="Arial" w:hAnsi="Arial" w:cs="Arial"/>
              </w:rPr>
            </w:pPr>
            <w:r w:rsidRPr="00EF4AAB">
              <w:rPr>
                <w:rFonts w:ascii="Arial" w:hAnsi="Arial" w:cs="Arial"/>
              </w:rPr>
              <w:t xml:space="preserve">3. Osnaživanje uporabe rodno neutralnoga i uključivoga te rodno osjetljivog jezika* </w:t>
            </w:r>
          </w:p>
        </w:tc>
        <w:tc>
          <w:tcPr>
            <w:tcW w:w="3119" w:type="dxa"/>
            <w:vAlign w:val="center"/>
          </w:tcPr>
          <w:p w14:paraId="30DDD97A" w14:textId="77777777" w:rsidR="004333F1" w:rsidRPr="00EF4AAB" w:rsidRDefault="004333F1" w:rsidP="00AA2BFF">
            <w:pPr>
              <w:rPr>
                <w:rFonts w:ascii="Arial" w:hAnsi="Arial" w:cs="Arial"/>
              </w:rPr>
            </w:pPr>
            <w:r w:rsidRPr="00EF4AAB">
              <w:rPr>
                <w:rFonts w:ascii="Arial" w:hAnsi="Arial" w:cs="Arial"/>
              </w:rPr>
              <w:t>- konzistentna uporaba rodno neutralnog i rodno osjetljivog jezika u institucijskim aktima, natječajima za zapošljavanje, programskim i strateškim dokumentima te svim komunikacijskim sadržajima</w:t>
            </w:r>
          </w:p>
        </w:tc>
        <w:tc>
          <w:tcPr>
            <w:tcW w:w="3402" w:type="dxa"/>
            <w:vAlign w:val="center"/>
          </w:tcPr>
          <w:p w14:paraId="49ECE0FB" w14:textId="77777777" w:rsidR="004333F1" w:rsidRPr="00EF4AAB" w:rsidRDefault="004333F1" w:rsidP="00AA2BFF">
            <w:pPr>
              <w:rPr>
                <w:rFonts w:ascii="Arial" w:hAnsi="Arial" w:cs="Arial"/>
              </w:rPr>
            </w:pPr>
            <w:r w:rsidRPr="00EF4AAB">
              <w:rPr>
                <w:rFonts w:ascii="Arial" w:hAnsi="Arial" w:cs="Arial"/>
              </w:rPr>
              <w:t>- sastanci s predstavnicima relevantnih ustrojstvenih jedinica u svrhu potvrđivanja postojećih dobrih praksi i identificiranja prostora za poboljšanje</w:t>
            </w:r>
          </w:p>
          <w:p w14:paraId="1F7FD7D9" w14:textId="77777777" w:rsidR="004333F1" w:rsidRPr="00EF4AAB" w:rsidRDefault="004333F1" w:rsidP="00AA2BFF">
            <w:pPr>
              <w:rPr>
                <w:rFonts w:ascii="Arial" w:hAnsi="Arial" w:cs="Arial"/>
              </w:rPr>
            </w:pPr>
            <w:r w:rsidRPr="00EF4AAB">
              <w:rPr>
                <w:rFonts w:ascii="Arial" w:hAnsi="Arial" w:cs="Arial"/>
              </w:rPr>
              <w:t>- uvrštavanje teme rodno neutralnoga i osjetljivog jezika u edukaciju za radnike</w:t>
            </w:r>
          </w:p>
        </w:tc>
        <w:tc>
          <w:tcPr>
            <w:tcW w:w="2977" w:type="dxa"/>
            <w:vAlign w:val="center"/>
          </w:tcPr>
          <w:p w14:paraId="0688716F" w14:textId="2478D27F" w:rsidR="004333F1" w:rsidRPr="00EF4AAB" w:rsidRDefault="004333F1" w:rsidP="00AA2BFF">
            <w:pPr>
              <w:rPr>
                <w:rFonts w:ascii="Arial" w:hAnsi="Arial" w:cs="Arial"/>
              </w:rPr>
            </w:pPr>
            <w:r w:rsidRPr="00EF4AAB">
              <w:rPr>
                <w:rFonts w:ascii="Arial" w:hAnsi="Arial" w:cs="Arial"/>
              </w:rPr>
              <w:t>- sastanci: 4. kvartal 2022.</w:t>
            </w:r>
            <w:r w:rsidR="00944616">
              <w:rPr>
                <w:rFonts w:ascii="Arial" w:hAnsi="Arial" w:cs="Arial"/>
              </w:rPr>
              <w:t xml:space="preserve"> godine</w:t>
            </w:r>
          </w:p>
          <w:p w14:paraId="3B745B62" w14:textId="764DFD91" w:rsidR="004333F1" w:rsidRPr="00EF4AAB" w:rsidRDefault="004333F1" w:rsidP="00AA2BFF">
            <w:pPr>
              <w:rPr>
                <w:rFonts w:ascii="Arial" w:hAnsi="Arial" w:cs="Arial"/>
              </w:rPr>
            </w:pPr>
            <w:r w:rsidRPr="00EF4AAB">
              <w:rPr>
                <w:rFonts w:ascii="Arial" w:hAnsi="Arial" w:cs="Arial"/>
              </w:rPr>
              <w:t>- edukacija za radnike: od 2023.</w:t>
            </w:r>
            <w:r w:rsidR="00944616">
              <w:rPr>
                <w:rFonts w:ascii="Arial" w:hAnsi="Arial" w:cs="Arial"/>
              </w:rPr>
              <w:t xml:space="preserve"> godine</w:t>
            </w:r>
            <w:r w:rsidRPr="00EF4AAB">
              <w:rPr>
                <w:rFonts w:ascii="Arial" w:hAnsi="Arial" w:cs="Arial"/>
              </w:rPr>
              <w:t xml:space="preserve"> nadalje u godišnjem planu edukacija za radnike </w:t>
            </w:r>
          </w:p>
        </w:tc>
        <w:tc>
          <w:tcPr>
            <w:tcW w:w="2835" w:type="dxa"/>
            <w:vAlign w:val="center"/>
          </w:tcPr>
          <w:p w14:paraId="79E290F2" w14:textId="77777777" w:rsidR="004333F1" w:rsidRPr="00EF4AAB" w:rsidRDefault="004333F1" w:rsidP="00AA2BFF">
            <w:pPr>
              <w:rPr>
                <w:rFonts w:ascii="Arial" w:hAnsi="Arial" w:cs="Arial"/>
              </w:rPr>
            </w:pPr>
            <w:r w:rsidRPr="00EF4AAB">
              <w:rPr>
                <w:rFonts w:ascii="Arial" w:hAnsi="Arial" w:cs="Arial"/>
              </w:rPr>
              <w:t>- radnici nadležni za kadrovske i pravne poslove te komunikacijske poslove</w:t>
            </w:r>
          </w:p>
          <w:p w14:paraId="03DF85A9" w14:textId="61D44E67" w:rsidR="004333F1" w:rsidRPr="00EF4AAB" w:rsidRDefault="004333F1" w:rsidP="00AA2BFF">
            <w:pPr>
              <w:rPr>
                <w:rFonts w:ascii="Arial" w:hAnsi="Arial" w:cs="Arial"/>
              </w:rPr>
            </w:pPr>
            <w:r w:rsidRPr="00EF4AAB">
              <w:rPr>
                <w:rFonts w:ascii="Arial" w:hAnsi="Arial" w:cs="Arial"/>
              </w:rPr>
              <w:t>- putem edukacije senzibiliziranje radnika općenito na ovu temu pri izradi dokumenata</w:t>
            </w:r>
          </w:p>
        </w:tc>
      </w:tr>
      <w:tr w:rsidR="004333F1" w:rsidRPr="00EF4AAB" w14:paraId="4AC103E8" w14:textId="77777777" w:rsidTr="00E4587B">
        <w:trPr>
          <w:trHeight w:hRule="exact" w:val="2688"/>
          <w:jc w:val="center"/>
        </w:trPr>
        <w:tc>
          <w:tcPr>
            <w:tcW w:w="2830" w:type="dxa"/>
            <w:vAlign w:val="center"/>
          </w:tcPr>
          <w:p w14:paraId="660BE945" w14:textId="77777777" w:rsidR="004333F1" w:rsidRPr="00EF4AAB" w:rsidRDefault="004333F1" w:rsidP="00AA2BFF">
            <w:pPr>
              <w:rPr>
                <w:rFonts w:ascii="Arial" w:hAnsi="Arial" w:cs="Arial"/>
              </w:rPr>
            </w:pPr>
            <w:r w:rsidRPr="00EF4AAB">
              <w:rPr>
                <w:rFonts w:ascii="Arial" w:hAnsi="Arial" w:cs="Arial"/>
              </w:rPr>
              <w:lastRenderedPageBreak/>
              <w:t>4. Podizanje vidljivosti teme ravnopravnosti spolova putem interne komunikacije i komunikacije s korisnicima</w:t>
            </w:r>
          </w:p>
        </w:tc>
        <w:tc>
          <w:tcPr>
            <w:tcW w:w="3119" w:type="dxa"/>
            <w:vAlign w:val="center"/>
          </w:tcPr>
          <w:p w14:paraId="7200ECD5" w14:textId="77777777" w:rsidR="004333F1" w:rsidRPr="00EF4AAB" w:rsidRDefault="004333F1" w:rsidP="00AA2BFF">
            <w:pPr>
              <w:rPr>
                <w:rFonts w:ascii="Arial" w:hAnsi="Arial" w:cs="Arial"/>
              </w:rPr>
            </w:pPr>
            <w:r w:rsidRPr="00EF4AAB">
              <w:rPr>
                <w:rFonts w:ascii="Arial" w:hAnsi="Arial" w:cs="Arial"/>
              </w:rPr>
              <w:t>- povećana vidljivost teme ravnopravnosti spolova kroz obilježavanje relevantnih datuma, informiranje o relevantnim novinama u pravnom i strateškom okviru, dijeljenje relevantnih priča i iskustava javnih osoba i korisnika ili relevantnih projektnih isporučevina</w:t>
            </w:r>
          </w:p>
        </w:tc>
        <w:tc>
          <w:tcPr>
            <w:tcW w:w="3402" w:type="dxa"/>
            <w:vAlign w:val="center"/>
          </w:tcPr>
          <w:p w14:paraId="288A8F62" w14:textId="77777777" w:rsidR="004333F1" w:rsidRPr="00EF4AAB" w:rsidRDefault="004333F1" w:rsidP="00AA2BFF">
            <w:pPr>
              <w:rPr>
                <w:rFonts w:ascii="Arial" w:hAnsi="Arial" w:cs="Arial"/>
              </w:rPr>
            </w:pPr>
            <w:r w:rsidRPr="00EF4AAB">
              <w:rPr>
                <w:rFonts w:ascii="Arial" w:hAnsi="Arial" w:cs="Arial"/>
              </w:rPr>
              <w:t xml:space="preserve">- periodične relevantne objave na prijedlog Radne skupine i ostalih radnika putem internih agencijskih kanala </w:t>
            </w:r>
          </w:p>
          <w:p w14:paraId="66AB5A92" w14:textId="63E5FE03" w:rsidR="004333F1" w:rsidRPr="00EF4AAB" w:rsidRDefault="004333F1" w:rsidP="00AA2BFF">
            <w:pPr>
              <w:rPr>
                <w:rFonts w:ascii="Arial" w:hAnsi="Arial" w:cs="Arial"/>
              </w:rPr>
            </w:pPr>
            <w:r w:rsidRPr="00EF4AAB">
              <w:rPr>
                <w:rFonts w:ascii="Arial" w:hAnsi="Arial" w:cs="Arial"/>
              </w:rPr>
              <w:t xml:space="preserve">- periodične relevantne objave vezane </w:t>
            </w:r>
            <w:r w:rsidR="008768AF">
              <w:rPr>
                <w:rFonts w:ascii="Arial" w:hAnsi="Arial" w:cs="Arial"/>
              </w:rPr>
              <w:t>za</w:t>
            </w:r>
            <w:r w:rsidRPr="00EF4AAB">
              <w:rPr>
                <w:rFonts w:ascii="Arial" w:hAnsi="Arial" w:cs="Arial"/>
              </w:rPr>
              <w:t xml:space="preserve"> programsku djelatnost putem komunikacijskih kanala Agencije</w:t>
            </w:r>
          </w:p>
        </w:tc>
        <w:tc>
          <w:tcPr>
            <w:tcW w:w="2977" w:type="dxa"/>
            <w:vAlign w:val="center"/>
          </w:tcPr>
          <w:p w14:paraId="56BE872D" w14:textId="7F7FE221" w:rsidR="004333F1" w:rsidRPr="00EF4AAB" w:rsidRDefault="004333F1" w:rsidP="00AA2BFF">
            <w:pPr>
              <w:rPr>
                <w:rFonts w:ascii="Arial" w:hAnsi="Arial" w:cs="Arial"/>
              </w:rPr>
            </w:pPr>
            <w:r w:rsidRPr="00EF4AAB">
              <w:rPr>
                <w:rFonts w:ascii="Arial" w:hAnsi="Arial" w:cs="Arial"/>
              </w:rPr>
              <w:t xml:space="preserve">- </w:t>
            </w:r>
            <w:r w:rsidR="00B020C2" w:rsidRPr="00EF4AAB">
              <w:rPr>
                <w:rFonts w:ascii="Arial" w:hAnsi="Arial" w:cs="Arial"/>
              </w:rPr>
              <w:t>do 2</w:t>
            </w:r>
            <w:r w:rsidRPr="00EF4AAB">
              <w:rPr>
                <w:rFonts w:ascii="Arial" w:hAnsi="Arial" w:cs="Arial"/>
              </w:rPr>
              <w:t xml:space="preserve"> objave godišnje putem internih ili javnih agencijskih kanala tijekom provedbe Plana: 2. kvartal 2022.</w:t>
            </w:r>
            <w:r w:rsidR="00DA501B">
              <w:rPr>
                <w:rFonts w:ascii="Arial" w:hAnsi="Arial" w:cs="Arial"/>
              </w:rPr>
              <w:t xml:space="preserve"> – </w:t>
            </w:r>
            <w:r w:rsidRPr="00EF4AAB">
              <w:rPr>
                <w:rFonts w:ascii="Arial" w:hAnsi="Arial" w:cs="Arial"/>
              </w:rPr>
              <w:t>2026.</w:t>
            </w:r>
            <w:r w:rsidR="00944616">
              <w:rPr>
                <w:rFonts w:ascii="Arial" w:hAnsi="Arial" w:cs="Arial"/>
              </w:rPr>
              <w:t xml:space="preserve"> godine</w:t>
            </w:r>
          </w:p>
        </w:tc>
        <w:tc>
          <w:tcPr>
            <w:tcW w:w="2835" w:type="dxa"/>
            <w:vAlign w:val="center"/>
          </w:tcPr>
          <w:p w14:paraId="6654B804" w14:textId="77777777" w:rsidR="004333F1" w:rsidRPr="00EF4AAB" w:rsidRDefault="004333F1" w:rsidP="00AA2BFF">
            <w:pPr>
              <w:rPr>
                <w:rFonts w:ascii="Arial" w:hAnsi="Arial" w:cs="Arial"/>
              </w:rPr>
            </w:pPr>
            <w:r w:rsidRPr="00EF4AAB">
              <w:rPr>
                <w:rFonts w:ascii="Arial" w:hAnsi="Arial" w:cs="Arial"/>
              </w:rPr>
              <w:t>- Radna skupina i radnici Agencije</w:t>
            </w:r>
          </w:p>
          <w:p w14:paraId="5B245628" w14:textId="77777777" w:rsidR="004333F1" w:rsidRPr="00EF4AAB" w:rsidRDefault="004333F1" w:rsidP="00AA2BFF">
            <w:pPr>
              <w:rPr>
                <w:rFonts w:ascii="Arial" w:hAnsi="Arial" w:cs="Arial"/>
              </w:rPr>
            </w:pPr>
            <w:r w:rsidRPr="00EF4AAB">
              <w:rPr>
                <w:rFonts w:ascii="Arial" w:hAnsi="Arial" w:cs="Arial"/>
              </w:rPr>
              <w:t>- radnici nadležni za komunikacije</w:t>
            </w:r>
          </w:p>
          <w:p w14:paraId="1C0A1B2B" w14:textId="77777777" w:rsidR="004333F1" w:rsidRPr="00EF4AAB" w:rsidRDefault="004333F1" w:rsidP="00AA2BFF">
            <w:pPr>
              <w:rPr>
                <w:rFonts w:ascii="Arial" w:hAnsi="Arial" w:cs="Arial"/>
              </w:rPr>
            </w:pPr>
            <w:r w:rsidRPr="00EF4AAB">
              <w:rPr>
                <w:rFonts w:ascii="Arial" w:hAnsi="Arial" w:cs="Arial"/>
              </w:rPr>
              <w:t>- radnici nadležni za programsku djelatnost</w:t>
            </w:r>
          </w:p>
        </w:tc>
      </w:tr>
      <w:tr w:rsidR="004333F1" w:rsidRPr="009774A5" w14:paraId="5C5CF92B" w14:textId="77777777" w:rsidTr="00AA2BFF">
        <w:trPr>
          <w:trHeight w:hRule="exact" w:val="2268"/>
          <w:jc w:val="center"/>
        </w:trPr>
        <w:tc>
          <w:tcPr>
            <w:tcW w:w="2830" w:type="dxa"/>
            <w:vAlign w:val="center"/>
          </w:tcPr>
          <w:p w14:paraId="69BFB977" w14:textId="065221D4" w:rsidR="004333F1" w:rsidRPr="00EF4AAB" w:rsidRDefault="004333F1" w:rsidP="00AA2BFF">
            <w:pPr>
              <w:rPr>
                <w:rFonts w:ascii="Arial" w:hAnsi="Arial" w:cs="Arial"/>
              </w:rPr>
            </w:pPr>
            <w:r w:rsidRPr="00EF4AAB">
              <w:rPr>
                <w:rFonts w:ascii="Arial" w:hAnsi="Arial" w:cs="Arial"/>
              </w:rPr>
              <w:t xml:space="preserve">5. Osnaživanje uspostavljenih procedura i internih praksi vezanih </w:t>
            </w:r>
            <w:r w:rsidR="00DA501B">
              <w:rPr>
                <w:rFonts w:ascii="Arial" w:hAnsi="Arial" w:cs="Arial"/>
              </w:rPr>
              <w:t>za</w:t>
            </w:r>
            <w:r w:rsidRPr="00EF4AAB">
              <w:rPr>
                <w:rFonts w:ascii="Arial" w:hAnsi="Arial" w:cs="Arial"/>
              </w:rPr>
              <w:t xml:space="preserve"> usklađivanje poslovnog i privatnog života</w:t>
            </w:r>
          </w:p>
        </w:tc>
        <w:tc>
          <w:tcPr>
            <w:tcW w:w="3119" w:type="dxa"/>
            <w:vAlign w:val="center"/>
          </w:tcPr>
          <w:p w14:paraId="7B3AF06E" w14:textId="62B98750" w:rsidR="004333F1" w:rsidRPr="00EF4AAB" w:rsidRDefault="004333F1" w:rsidP="00AA2BFF">
            <w:pPr>
              <w:rPr>
                <w:rFonts w:ascii="Arial" w:hAnsi="Arial" w:cs="Arial"/>
              </w:rPr>
            </w:pPr>
            <w:r w:rsidRPr="00EF4AAB">
              <w:rPr>
                <w:rFonts w:ascii="Arial" w:hAnsi="Arial" w:cs="Arial"/>
              </w:rPr>
              <w:t xml:space="preserve">- evaluacija i nadogradnja dosadašnjih uspostavljenih praksi vezanih </w:t>
            </w:r>
            <w:r w:rsidR="008768AF">
              <w:rPr>
                <w:rFonts w:ascii="Arial" w:hAnsi="Arial" w:cs="Arial"/>
              </w:rPr>
              <w:t>za</w:t>
            </w:r>
            <w:r w:rsidRPr="00EF4AAB">
              <w:rPr>
                <w:rFonts w:ascii="Arial" w:hAnsi="Arial" w:cs="Arial"/>
              </w:rPr>
              <w:t xml:space="preserve"> mogućnosti usklađivanja poslovnog i privatnog života u svrhu unaprjeđenja zadovoljstva postavljenim institucionalnim okvirom </w:t>
            </w:r>
          </w:p>
        </w:tc>
        <w:tc>
          <w:tcPr>
            <w:tcW w:w="3402" w:type="dxa"/>
            <w:vAlign w:val="center"/>
          </w:tcPr>
          <w:p w14:paraId="1F26A2E0" w14:textId="77777777" w:rsidR="004333F1" w:rsidRPr="00EF4AAB" w:rsidRDefault="004333F1" w:rsidP="00AA2BFF">
            <w:pPr>
              <w:rPr>
                <w:rFonts w:ascii="Arial" w:hAnsi="Arial" w:cs="Arial"/>
              </w:rPr>
            </w:pPr>
            <w:r w:rsidRPr="00EF4AAB">
              <w:rPr>
                <w:rFonts w:ascii="Arial" w:hAnsi="Arial" w:cs="Arial"/>
              </w:rPr>
              <w:t>- rasprava o prijedlozima osnaživanja mjera za usklađivanje poslovnih i privatnih potreba iznesenih u okviru upitnika provedenog u svrhu razvoja ovog Plana</w:t>
            </w:r>
          </w:p>
        </w:tc>
        <w:tc>
          <w:tcPr>
            <w:tcW w:w="2977" w:type="dxa"/>
            <w:vAlign w:val="center"/>
          </w:tcPr>
          <w:p w14:paraId="2843290B" w14:textId="000041C8" w:rsidR="004333F1" w:rsidRPr="00EF4AAB" w:rsidRDefault="004333F1" w:rsidP="00AA2BFF">
            <w:pPr>
              <w:rPr>
                <w:rFonts w:ascii="Arial" w:hAnsi="Arial" w:cs="Arial"/>
              </w:rPr>
            </w:pPr>
            <w:r w:rsidRPr="00EF4AAB">
              <w:rPr>
                <w:rFonts w:ascii="Arial" w:hAnsi="Arial" w:cs="Arial"/>
              </w:rPr>
              <w:t>- 1. kvartal 2023.</w:t>
            </w:r>
            <w:r w:rsidR="00944616">
              <w:rPr>
                <w:rFonts w:ascii="Arial" w:hAnsi="Arial" w:cs="Arial"/>
              </w:rPr>
              <w:t xml:space="preserve"> godine</w:t>
            </w:r>
          </w:p>
        </w:tc>
        <w:tc>
          <w:tcPr>
            <w:tcW w:w="2835" w:type="dxa"/>
            <w:vAlign w:val="center"/>
          </w:tcPr>
          <w:p w14:paraId="338A5148" w14:textId="756122CD" w:rsidR="004333F1" w:rsidRPr="00EF4AAB" w:rsidRDefault="004333F1" w:rsidP="00AA2BFF">
            <w:pPr>
              <w:rPr>
                <w:rFonts w:ascii="Arial" w:hAnsi="Arial" w:cs="Arial"/>
              </w:rPr>
            </w:pPr>
            <w:r w:rsidRPr="00EF4AAB">
              <w:rPr>
                <w:rFonts w:ascii="Arial" w:hAnsi="Arial" w:cs="Arial"/>
              </w:rPr>
              <w:t xml:space="preserve">- Uprava Agencije i </w:t>
            </w:r>
            <w:r w:rsidR="006916A5">
              <w:rPr>
                <w:rFonts w:ascii="Arial" w:hAnsi="Arial" w:cs="Arial"/>
              </w:rPr>
              <w:t xml:space="preserve">Radna skupina </w:t>
            </w:r>
            <w:r w:rsidR="003A2B5E">
              <w:rPr>
                <w:rFonts w:ascii="Arial" w:hAnsi="Arial" w:cs="Arial"/>
              </w:rPr>
              <w:t xml:space="preserve">za ravnopravnost spolova </w:t>
            </w:r>
          </w:p>
        </w:tc>
      </w:tr>
      <w:tr w:rsidR="004333F1" w:rsidRPr="000643EF" w14:paraId="45794D25" w14:textId="77777777" w:rsidTr="00E4587B">
        <w:trPr>
          <w:trHeight w:hRule="exact" w:val="2696"/>
          <w:jc w:val="center"/>
        </w:trPr>
        <w:tc>
          <w:tcPr>
            <w:tcW w:w="2830" w:type="dxa"/>
            <w:vAlign w:val="center"/>
          </w:tcPr>
          <w:p w14:paraId="75CFC16E" w14:textId="3023C0B1" w:rsidR="004333F1" w:rsidRPr="00EF4AAB" w:rsidRDefault="004333F1" w:rsidP="00AA2BFF">
            <w:pPr>
              <w:rPr>
                <w:rFonts w:ascii="Arial" w:hAnsi="Arial" w:cs="Arial"/>
              </w:rPr>
            </w:pPr>
            <w:r w:rsidRPr="00EF4AAB">
              <w:rPr>
                <w:rFonts w:ascii="Arial" w:hAnsi="Arial" w:cs="Arial"/>
              </w:rPr>
              <w:t xml:space="preserve">6. Edukacija radnika vezana </w:t>
            </w:r>
            <w:r w:rsidR="00DA501B">
              <w:rPr>
                <w:rFonts w:ascii="Arial" w:hAnsi="Arial" w:cs="Arial"/>
              </w:rPr>
              <w:t>za</w:t>
            </w:r>
            <w:r w:rsidRPr="00EF4AAB">
              <w:rPr>
                <w:rFonts w:ascii="Arial" w:hAnsi="Arial" w:cs="Arial"/>
              </w:rPr>
              <w:t xml:space="preserve"> teme ravnopravnosti spolova i prepoznavanja obrazaca rodno-utemeljenog nasilja te spolnog uznemiravanja na radnom mjestu</w:t>
            </w:r>
          </w:p>
        </w:tc>
        <w:tc>
          <w:tcPr>
            <w:tcW w:w="3119" w:type="dxa"/>
            <w:vAlign w:val="center"/>
          </w:tcPr>
          <w:p w14:paraId="3E3C9EDC" w14:textId="77777777" w:rsidR="004333F1" w:rsidRPr="00EF4AAB" w:rsidRDefault="004333F1" w:rsidP="00AA2BFF">
            <w:pPr>
              <w:rPr>
                <w:rFonts w:ascii="Arial" w:hAnsi="Arial" w:cs="Arial"/>
              </w:rPr>
            </w:pPr>
            <w:r w:rsidRPr="00EF4AAB">
              <w:rPr>
                <w:rFonts w:ascii="Arial" w:hAnsi="Arial" w:cs="Arial"/>
              </w:rPr>
              <w:t>- osiguravanje upućenosti svih radnika u institucijske prakse i potpore kao i širi kontekst teme ravnopravnosti spolova i prepoznavanja obrazaca rodno-utemeljenog nasilja te spolnog uznemiravanja na radnom mjestu</w:t>
            </w:r>
          </w:p>
        </w:tc>
        <w:tc>
          <w:tcPr>
            <w:tcW w:w="3402" w:type="dxa"/>
            <w:vAlign w:val="center"/>
          </w:tcPr>
          <w:p w14:paraId="36A7282D" w14:textId="77777777" w:rsidR="004333F1" w:rsidRPr="00EF4AAB" w:rsidRDefault="004333F1" w:rsidP="00AA2BFF">
            <w:pPr>
              <w:rPr>
                <w:rFonts w:ascii="Arial" w:hAnsi="Arial" w:cs="Arial"/>
              </w:rPr>
            </w:pPr>
            <w:r w:rsidRPr="00EF4AAB">
              <w:rPr>
                <w:rFonts w:ascii="Arial" w:hAnsi="Arial" w:cs="Arial"/>
              </w:rPr>
              <w:t xml:space="preserve">- uvrštavanje edukacije koja obrađuje postojeće institute i prakse, komunikacijske obveze, kao i širu temu ravnopravnosti spolova i prepoznavanja obrazaca rodno-utemeljenog nasilja te spolnog uznemiravanja na radnom mjestu u trajan registar obveznih edukacija radnika </w:t>
            </w:r>
          </w:p>
        </w:tc>
        <w:tc>
          <w:tcPr>
            <w:tcW w:w="2977" w:type="dxa"/>
            <w:vAlign w:val="center"/>
          </w:tcPr>
          <w:p w14:paraId="45BD2069" w14:textId="381B7F2F" w:rsidR="004333F1" w:rsidRPr="00EF4AAB" w:rsidRDefault="004333F1" w:rsidP="00AA2BFF">
            <w:pPr>
              <w:rPr>
                <w:rFonts w:ascii="Arial" w:hAnsi="Arial" w:cs="Arial"/>
              </w:rPr>
            </w:pPr>
            <w:r w:rsidRPr="00EF4AAB">
              <w:rPr>
                <w:rFonts w:ascii="Arial" w:hAnsi="Arial" w:cs="Arial"/>
              </w:rPr>
              <w:t>- jedanput godišnje od 2. kvartala 2023. do 2026.</w:t>
            </w:r>
            <w:r w:rsidR="00944616">
              <w:rPr>
                <w:rFonts w:ascii="Arial" w:hAnsi="Arial" w:cs="Arial"/>
              </w:rPr>
              <w:t xml:space="preserve"> godine</w:t>
            </w:r>
            <w:r w:rsidR="00123831">
              <w:rPr>
                <w:rFonts w:ascii="Arial" w:hAnsi="Arial" w:cs="Arial"/>
              </w:rPr>
              <w:t xml:space="preserve"> (odnosi se na edukaciju spomenutu pod točkom 3.)</w:t>
            </w:r>
          </w:p>
        </w:tc>
        <w:tc>
          <w:tcPr>
            <w:tcW w:w="2835" w:type="dxa"/>
            <w:vAlign w:val="center"/>
          </w:tcPr>
          <w:p w14:paraId="039142BA" w14:textId="77777777" w:rsidR="004333F1" w:rsidRPr="00EF4AAB" w:rsidRDefault="004333F1" w:rsidP="00AA2BFF">
            <w:pPr>
              <w:rPr>
                <w:rFonts w:ascii="Arial" w:hAnsi="Arial" w:cs="Arial"/>
              </w:rPr>
            </w:pPr>
            <w:r w:rsidRPr="00EF4AAB">
              <w:rPr>
                <w:rFonts w:ascii="Arial" w:hAnsi="Arial" w:cs="Arial"/>
              </w:rPr>
              <w:t>- radnici nadležni za razvoj ljudskih potencijala uz vanjske edukatore i pregled postojećih i poželjnih praksi od strane radnika nadležnih za kadrovske i komunikacijske poslove</w:t>
            </w:r>
          </w:p>
          <w:p w14:paraId="76B9803B" w14:textId="77777777" w:rsidR="004333F1" w:rsidRPr="00EF4AAB" w:rsidRDefault="004333F1" w:rsidP="00AA2BFF">
            <w:pPr>
              <w:rPr>
                <w:rFonts w:ascii="Arial" w:hAnsi="Arial" w:cs="Arial"/>
              </w:rPr>
            </w:pPr>
            <w:r w:rsidRPr="00EF4AAB">
              <w:rPr>
                <w:rFonts w:ascii="Arial" w:hAnsi="Arial" w:cs="Arial"/>
              </w:rPr>
              <w:t>- osigurana sredstva za predmetnu edukaciju</w:t>
            </w:r>
          </w:p>
        </w:tc>
      </w:tr>
      <w:tr w:rsidR="004333F1" w:rsidRPr="000643EF" w14:paraId="709D3471" w14:textId="77777777" w:rsidTr="00E4587B">
        <w:trPr>
          <w:trHeight w:val="1806"/>
          <w:jc w:val="center"/>
        </w:trPr>
        <w:tc>
          <w:tcPr>
            <w:tcW w:w="2830" w:type="dxa"/>
            <w:vAlign w:val="center"/>
          </w:tcPr>
          <w:p w14:paraId="59916C11" w14:textId="12883856" w:rsidR="004333F1" w:rsidRPr="00EF4AAB" w:rsidRDefault="004333F1" w:rsidP="00AA2BFF">
            <w:pPr>
              <w:rPr>
                <w:rFonts w:ascii="Arial" w:hAnsi="Arial" w:cs="Arial"/>
              </w:rPr>
            </w:pPr>
            <w:r w:rsidRPr="00EF4AAB">
              <w:rPr>
                <w:rFonts w:ascii="Arial" w:hAnsi="Arial" w:cs="Arial"/>
              </w:rPr>
              <w:lastRenderedPageBreak/>
              <w:t>7. Dalj</w:t>
            </w:r>
            <w:r w:rsidR="007844AE">
              <w:rPr>
                <w:rFonts w:ascii="Arial" w:hAnsi="Arial" w:cs="Arial"/>
              </w:rPr>
              <w:t>nj</w:t>
            </w:r>
            <w:r w:rsidRPr="00EF4AAB">
              <w:rPr>
                <w:rFonts w:ascii="Arial" w:hAnsi="Arial" w:cs="Arial"/>
              </w:rPr>
              <w:t>i razvoj sustava zapošljavanja i napredovanja osjetljiv na ravnopravnost spolova</w:t>
            </w:r>
          </w:p>
        </w:tc>
        <w:tc>
          <w:tcPr>
            <w:tcW w:w="3119" w:type="dxa"/>
            <w:vAlign w:val="center"/>
          </w:tcPr>
          <w:p w14:paraId="3AEBAA08" w14:textId="77777777" w:rsidR="004333F1" w:rsidRPr="00EF4AAB" w:rsidRDefault="004333F1" w:rsidP="00AA2BFF">
            <w:pPr>
              <w:rPr>
                <w:rFonts w:ascii="Arial" w:hAnsi="Arial" w:cs="Arial"/>
              </w:rPr>
            </w:pPr>
            <w:r w:rsidRPr="00EF4AAB">
              <w:rPr>
                <w:rFonts w:ascii="Arial" w:hAnsi="Arial" w:cs="Arial"/>
              </w:rPr>
              <w:t>- trajna skrb o poštivanju ravnopravnosti spolova te jednakih prava i prilika tijekom postupka zapošljavanja, napredovanja te odabira u radna tijela ili razna službena imenovanja</w:t>
            </w:r>
          </w:p>
        </w:tc>
        <w:tc>
          <w:tcPr>
            <w:tcW w:w="3402" w:type="dxa"/>
            <w:vAlign w:val="center"/>
          </w:tcPr>
          <w:p w14:paraId="7DE6D749" w14:textId="5236655F" w:rsidR="004333F1" w:rsidRPr="00EF4AAB" w:rsidRDefault="004333F1" w:rsidP="00AA2BFF">
            <w:pPr>
              <w:rPr>
                <w:rFonts w:ascii="Arial" w:hAnsi="Arial" w:cs="Arial"/>
              </w:rPr>
            </w:pPr>
            <w:r w:rsidRPr="00EF4AAB">
              <w:rPr>
                <w:rFonts w:ascii="Arial" w:hAnsi="Arial" w:cs="Arial"/>
              </w:rPr>
              <w:t>- osnaživanje postojećih praksi u komunikaciji s Upravom agencije i radnicima nadležnim</w:t>
            </w:r>
            <w:r w:rsidR="008768AF">
              <w:rPr>
                <w:rFonts w:ascii="Arial" w:hAnsi="Arial" w:cs="Arial"/>
              </w:rPr>
              <w:t>a</w:t>
            </w:r>
            <w:r w:rsidRPr="00EF4AAB">
              <w:rPr>
                <w:rFonts w:ascii="Arial" w:hAnsi="Arial" w:cs="Arial"/>
              </w:rPr>
              <w:t xml:space="preserve"> za kadrovske poslove</w:t>
            </w:r>
          </w:p>
        </w:tc>
        <w:tc>
          <w:tcPr>
            <w:tcW w:w="2977" w:type="dxa"/>
            <w:vAlign w:val="center"/>
          </w:tcPr>
          <w:p w14:paraId="1BDDF851" w14:textId="2B049306" w:rsidR="004333F1" w:rsidRPr="00EF4AAB" w:rsidRDefault="004333F1" w:rsidP="00AA2BFF">
            <w:pPr>
              <w:rPr>
                <w:rFonts w:ascii="Arial" w:hAnsi="Arial" w:cs="Arial"/>
              </w:rPr>
            </w:pPr>
            <w:r w:rsidRPr="00EF4AAB">
              <w:rPr>
                <w:rFonts w:ascii="Arial" w:hAnsi="Arial" w:cs="Arial"/>
              </w:rPr>
              <w:t>- kontinuirano tijekom provedbe Plana: 2. kvartal 2022.</w:t>
            </w:r>
            <w:r w:rsidR="008768AF">
              <w:rPr>
                <w:rFonts w:ascii="Arial" w:hAnsi="Arial" w:cs="Arial"/>
              </w:rPr>
              <w:t xml:space="preserve"> – </w:t>
            </w:r>
            <w:r w:rsidRPr="00EF4AAB">
              <w:rPr>
                <w:rFonts w:ascii="Arial" w:hAnsi="Arial" w:cs="Arial"/>
              </w:rPr>
              <w:t>2026.</w:t>
            </w:r>
            <w:r w:rsidR="00944616">
              <w:rPr>
                <w:rFonts w:ascii="Arial" w:hAnsi="Arial" w:cs="Arial"/>
              </w:rPr>
              <w:t xml:space="preserve"> godine</w:t>
            </w:r>
          </w:p>
        </w:tc>
        <w:tc>
          <w:tcPr>
            <w:tcW w:w="2835" w:type="dxa"/>
            <w:vAlign w:val="center"/>
          </w:tcPr>
          <w:p w14:paraId="2D8C0B60" w14:textId="77777777" w:rsidR="004333F1" w:rsidRPr="00EF4AAB" w:rsidRDefault="004333F1" w:rsidP="00AA2BFF">
            <w:pPr>
              <w:rPr>
                <w:rFonts w:ascii="Arial" w:hAnsi="Arial" w:cs="Arial"/>
              </w:rPr>
            </w:pPr>
            <w:r w:rsidRPr="00EF4AAB">
              <w:rPr>
                <w:rFonts w:ascii="Arial" w:hAnsi="Arial" w:cs="Arial"/>
              </w:rPr>
              <w:t>- Uprava Agencije i radnici nadležni za kadrovske poslove</w:t>
            </w:r>
          </w:p>
        </w:tc>
      </w:tr>
    </w:tbl>
    <w:p w14:paraId="55B0C583" w14:textId="77777777" w:rsidR="00153C9E" w:rsidRDefault="00153C9E" w:rsidP="00E4587B">
      <w:pPr>
        <w:jc w:val="both"/>
        <w:rPr>
          <w:rFonts w:ascii="Arial" w:hAnsi="Arial" w:cs="Arial"/>
          <w:sz w:val="18"/>
          <w:szCs w:val="18"/>
          <w:lang w:val="hr-HR"/>
        </w:rPr>
      </w:pPr>
    </w:p>
    <w:p w14:paraId="08635BA1" w14:textId="3866AABC" w:rsidR="009F74FD" w:rsidRDefault="00E4587B" w:rsidP="00E4587B">
      <w:pPr>
        <w:jc w:val="both"/>
        <w:rPr>
          <w:rFonts w:ascii="Arial" w:hAnsi="Arial" w:cs="Arial"/>
          <w:sz w:val="18"/>
          <w:szCs w:val="18"/>
          <w:lang w:val="hr-HR"/>
        </w:rPr>
      </w:pPr>
      <w:r>
        <w:rPr>
          <w:rFonts w:ascii="Arial" w:hAnsi="Arial" w:cs="Arial"/>
          <w:sz w:val="18"/>
          <w:szCs w:val="18"/>
          <w:lang w:val="hr-HR"/>
        </w:rPr>
        <w:t>„</w:t>
      </w:r>
      <w:r w:rsidR="004333F1" w:rsidRPr="00E4587B">
        <w:rPr>
          <w:rFonts w:ascii="Arial" w:hAnsi="Arial" w:cs="Arial"/>
          <w:sz w:val="18"/>
          <w:szCs w:val="18"/>
          <w:lang w:val="hr-HR"/>
        </w:rPr>
        <w:t>Rodna neutralnost u jeziku opći je pojam koji obuhvaća korištenje neseksističkim jezikom, uključivim jezikom i rodno nediskriminirajućim jezikom. Svrha rodno neutralna jezika jest da se izbjegne odabir riječi koji se može tumačiti kao pristran, diskriminatoran ili ponižavajući impliciranjem da je jedan spol ili društveni rod norma. Upotrebom rodno nediskriminirajućeg i uključiva jezika također se potpomaže smanjenje rodnih stereotipa, promiču se društvene promjene i doprinosi postizanju rodne ravnopravnosti.“ (</w:t>
      </w:r>
      <w:bookmarkStart w:id="3" w:name="_GoBack"/>
      <w:r w:rsidR="00D27C67">
        <w:fldChar w:fldCharType="begin"/>
      </w:r>
      <w:r w:rsidR="00D27C67" w:rsidRPr="000643EF">
        <w:rPr>
          <w:lang w:val="es-AR"/>
        </w:rPr>
        <w:instrText xml:space="preserve"> HYPERLINK "https://www.europarl.europa.eu/cmsdata/187100/GNL_Guidelines_HR</w:instrText>
      </w:r>
      <w:r w:rsidR="00D27C67" w:rsidRPr="000643EF">
        <w:rPr>
          <w:lang w:val="es-AR"/>
        </w:rPr>
        <w:instrText xml:space="preserve">-original.pdf" </w:instrText>
      </w:r>
      <w:r w:rsidR="00D27C67">
        <w:fldChar w:fldCharType="separate"/>
      </w:r>
      <w:r w:rsidR="004333F1" w:rsidRPr="00E4587B">
        <w:rPr>
          <w:rStyle w:val="Hyperlink"/>
          <w:rFonts w:ascii="Arial" w:hAnsi="Arial" w:cs="Arial"/>
          <w:sz w:val="18"/>
          <w:szCs w:val="18"/>
          <w:lang w:val="hr-HR"/>
        </w:rPr>
        <w:t>Rodno neutralan jezik u Europskom parlamentu, 2018.</w:t>
      </w:r>
      <w:r w:rsidR="00D27C67">
        <w:rPr>
          <w:rStyle w:val="Hyperlink"/>
          <w:rFonts w:ascii="Arial" w:hAnsi="Arial" w:cs="Arial"/>
          <w:sz w:val="18"/>
          <w:szCs w:val="18"/>
          <w:lang w:val="hr-HR"/>
        </w:rPr>
        <w:fldChar w:fldCharType="end"/>
      </w:r>
      <w:bookmarkEnd w:id="3"/>
      <w:r w:rsidR="004333F1" w:rsidRPr="00E4587B">
        <w:rPr>
          <w:rFonts w:ascii="Arial" w:hAnsi="Arial" w:cs="Arial"/>
          <w:sz w:val="18"/>
          <w:szCs w:val="18"/>
          <w:lang w:val="hr-HR"/>
        </w:rPr>
        <w:t>)</w:t>
      </w:r>
    </w:p>
    <w:p w14:paraId="45F03A10" w14:textId="77777777" w:rsidR="00E4587B" w:rsidRDefault="00E4587B" w:rsidP="00E4587B">
      <w:pPr>
        <w:jc w:val="both"/>
        <w:rPr>
          <w:rFonts w:ascii="Arial" w:hAnsi="Arial" w:cs="Arial"/>
          <w:sz w:val="18"/>
          <w:szCs w:val="18"/>
          <w:lang w:val="hr-HR"/>
        </w:rPr>
      </w:pPr>
    </w:p>
    <w:p w14:paraId="2BF05BC5" w14:textId="77777777" w:rsidR="00E4587B" w:rsidRPr="009F74FD" w:rsidRDefault="00E4587B" w:rsidP="00E4587B">
      <w:pPr>
        <w:spacing w:after="0" w:line="240" w:lineRule="auto"/>
        <w:jc w:val="both"/>
        <w:rPr>
          <w:rFonts w:ascii="Arial" w:hAnsi="Arial" w:cs="Arial"/>
          <w:lang w:val="hr-HR"/>
        </w:rPr>
      </w:pPr>
      <w:r w:rsidRPr="009F74FD">
        <w:rPr>
          <w:rFonts w:ascii="Arial" w:hAnsi="Arial" w:cs="Arial"/>
          <w:lang w:val="hr-HR"/>
        </w:rPr>
        <w:t>KLASA:</w:t>
      </w:r>
      <w:r>
        <w:rPr>
          <w:rFonts w:ascii="Arial" w:hAnsi="Arial" w:cs="Arial"/>
          <w:lang w:val="hr-HR"/>
        </w:rPr>
        <w:t xml:space="preserve"> </w:t>
      </w:r>
      <w:r w:rsidRPr="009774A5">
        <w:rPr>
          <w:rFonts w:ascii="Arial" w:hAnsi="Arial" w:cs="Arial"/>
          <w:lang w:val="hr-HR"/>
        </w:rPr>
        <w:t>001-02/22-01/2</w:t>
      </w:r>
    </w:p>
    <w:p w14:paraId="3EFD53E2" w14:textId="77777777" w:rsidR="00E4587B" w:rsidRDefault="00E4587B" w:rsidP="00E4587B">
      <w:pPr>
        <w:spacing w:after="0" w:line="240" w:lineRule="auto"/>
        <w:jc w:val="both"/>
        <w:rPr>
          <w:rFonts w:ascii="Arial" w:hAnsi="Arial" w:cs="Arial"/>
          <w:lang w:val="hr-HR"/>
        </w:rPr>
      </w:pPr>
      <w:r w:rsidRPr="009F74FD">
        <w:rPr>
          <w:rFonts w:ascii="Arial" w:hAnsi="Arial" w:cs="Arial"/>
          <w:lang w:val="hr-HR"/>
        </w:rPr>
        <w:t>URBROJ:</w:t>
      </w:r>
      <w:r>
        <w:rPr>
          <w:rFonts w:ascii="Arial" w:hAnsi="Arial" w:cs="Arial"/>
          <w:lang w:val="hr-HR"/>
        </w:rPr>
        <w:t xml:space="preserve"> </w:t>
      </w:r>
      <w:r w:rsidRPr="009774A5">
        <w:rPr>
          <w:rFonts w:ascii="Arial" w:hAnsi="Arial" w:cs="Arial"/>
          <w:lang w:val="hr-HR"/>
        </w:rPr>
        <w:t>359-12/4-22</w:t>
      </w:r>
      <w:r>
        <w:rPr>
          <w:rFonts w:ascii="Arial" w:hAnsi="Arial" w:cs="Arial"/>
          <w:lang w:val="hr-HR"/>
        </w:rPr>
        <w:t>-1</w:t>
      </w:r>
    </w:p>
    <w:p w14:paraId="1787CB3D" w14:textId="77777777" w:rsidR="00E4587B" w:rsidRDefault="00E4587B" w:rsidP="00E4587B">
      <w:pPr>
        <w:spacing w:after="0" w:line="240" w:lineRule="auto"/>
        <w:jc w:val="both"/>
        <w:rPr>
          <w:rFonts w:ascii="Arial" w:hAnsi="Arial" w:cs="Arial"/>
          <w:lang w:val="hr-HR"/>
        </w:rPr>
      </w:pPr>
      <w:r w:rsidRPr="009F74FD">
        <w:rPr>
          <w:rFonts w:ascii="Arial" w:hAnsi="Arial" w:cs="Arial"/>
          <w:lang w:val="hr-HR"/>
        </w:rPr>
        <w:t>U Zagrebu, ___________ 2022.</w:t>
      </w:r>
    </w:p>
    <w:p w14:paraId="4F8C973C" w14:textId="49CDFCCA" w:rsidR="00E4587B" w:rsidRPr="009F74FD" w:rsidRDefault="00E4587B" w:rsidP="00E4587B">
      <w:pPr>
        <w:ind w:left="4320"/>
        <w:jc w:val="both"/>
        <w:rPr>
          <w:rFonts w:ascii="Arial" w:hAnsi="Arial" w:cs="Arial"/>
          <w:lang w:val="hr-HR"/>
        </w:rPr>
      </w:pPr>
      <w:r>
        <w:rPr>
          <w:rFonts w:ascii="Arial" w:hAnsi="Arial" w:cs="Arial"/>
          <w:lang w:val="hr-HR"/>
        </w:rPr>
        <w:t xml:space="preserve">                                                                        </w:t>
      </w:r>
      <w:r w:rsidRPr="009F74FD">
        <w:rPr>
          <w:rFonts w:ascii="Arial" w:hAnsi="Arial" w:cs="Arial"/>
          <w:lang w:val="hr-HR"/>
        </w:rPr>
        <w:t>__________________________</w:t>
      </w:r>
    </w:p>
    <w:p w14:paraId="66E89BA3" w14:textId="3C4234E3" w:rsidR="009F74FD" w:rsidRPr="00006E4C" w:rsidRDefault="00E4587B" w:rsidP="00FB0A0D">
      <w:pPr>
        <w:ind w:left="4320"/>
        <w:jc w:val="both"/>
        <w:rPr>
          <w:rFonts w:ascii="Arial" w:hAnsi="Arial" w:cs="Arial"/>
          <w:lang w:val="hr-HR"/>
        </w:rPr>
      </w:pPr>
      <w:r>
        <w:rPr>
          <w:rFonts w:ascii="Arial" w:hAnsi="Arial" w:cs="Arial"/>
          <w:lang w:val="hr-HR"/>
        </w:rPr>
        <w:t xml:space="preserve">                                                                   </w:t>
      </w:r>
      <w:r w:rsidRPr="009F74FD">
        <w:rPr>
          <w:rFonts w:ascii="Arial" w:hAnsi="Arial" w:cs="Arial"/>
          <w:lang w:val="hr-HR"/>
        </w:rPr>
        <w:t>mr. sc. Antonija Gladović, ravnateljic</w:t>
      </w:r>
      <w:r w:rsidR="00C57EE1">
        <w:rPr>
          <w:rFonts w:ascii="Arial" w:hAnsi="Arial" w:cs="Arial"/>
          <w:lang w:val="hr-HR"/>
        </w:rPr>
        <w:t>a</w:t>
      </w:r>
    </w:p>
    <w:sectPr w:rsidR="009F74FD" w:rsidRPr="00006E4C" w:rsidSect="003027F2">
      <w:headerReference w:type="first" r:id="rId25"/>
      <w:pgSz w:w="16840" w:h="11900" w:orient="landscape" w:code="9"/>
      <w:pgMar w:top="1797" w:right="1440" w:bottom="1797" w:left="1440" w:header="709" w:footer="709"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F278" w16cex:dateUtc="2022-05-25T16:22:00Z"/>
  <w16cex:commentExtensible w16cex:durableId="263906C0" w16cex:dateUtc="2022-05-25T17:49:00Z"/>
  <w16cex:commentExtensible w16cex:durableId="26390985" w16cex:dateUtc="2022-05-25T18:01:00Z"/>
  <w16cex:commentExtensible w16cex:durableId="2638F5D5" w16cex:dateUtc="2022-05-25T16:37:00Z"/>
  <w16cex:commentExtensible w16cex:durableId="2638F452" w16cex:dateUtc="2022-05-25T16:30:00Z"/>
  <w16cex:commentExtensible w16cex:durableId="2638F63F" w16cex:dateUtc="2022-05-25T16:38:00Z"/>
  <w16cex:commentExtensible w16cex:durableId="263909BF" w16cex:dateUtc="2022-05-25T18:02:00Z"/>
  <w16cex:commentExtensible w16cex:durableId="263909D7" w16cex:dateUtc="2022-05-25T18:02:00Z"/>
  <w16cex:commentExtensible w16cex:durableId="2638F6B9" w16cex:dateUtc="2022-05-25T16:40:00Z"/>
  <w16cex:commentExtensible w16cex:durableId="263909EB" w16cex:dateUtc="2022-05-25T18:02:00Z"/>
  <w16cex:commentExtensible w16cex:durableId="2638F705" w16cex:dateUtc="2022-05-25T16:42:00Z"/>
  <w16cex:commentExtensible w16cex:durableId="26390A44" w16cex:dateUtc="2022-05-25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3C45F" w16cid:durableId="2638F278"/>
  <w16cid:commentId w16cid:paraId="7D19982C" w16cid:durableId="263906C0"/>
  <w16cid:commentId w16cid:paraId="3E0D4B3D" w16cid:durableId="26390985"/>
  <w16cid:commentId w16cid:paraId="3A58ED4B" w16cid:durableId="2638F5D5"/>
  <w16cid:commentId w16cid:paraId="55B759C2" w16cid:durableId="2638F452"/>
  <w16cid:commentId w16cid:paraId="0A89ADF1" w16cid:durableId="2638F63F"/>
  <w16cid:commentId w16cid:paraId="35776229" w16cid:durableId="263909BF"/>
  <w16cid:commentId w16cid:paraId="4A926983" w16cid:durableId="263909D7"/>
  <w16cid:commentId w16cid:paraId="099CA9F9" w16cid:durableId="2638F6B9"/>
  <w16cid:commentId w16cid:paraId="01FBE23E" w16cid:durableId="263909EB"/>
  <w16cid:commentId w16cid:paraId="2A56AB5C" w16cid:durableId="2638F705"/>
  <w16cid:commentId w16cid:paraId="0037B6E6" w16cid:durableId="26390A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F2BE9" w14:textId="77777777" w:rsidR="00D27C67" w:rsidRDefault="00D27C67">
      <w:r>
        <w:separator/>
      </w:r>
    </w:p>
  </w:endnote>
  <w:endnote w:type="continuationSeparator" w:id="0">
    <w:p w14:paraId="40B98F61" w14:textId="77777777" w:rsidR="00D27C67" w:rsidRDefault="00D27C67">
      <w:r>
        <w:continuationSeparator/>
      </w:r>
    </w:p>
  </w:endnote>
  <w:endnote w:type="continuationNotice" w:id="1">
    <w:p w14:paraId="0757BF2A" w14:textId="77777777" w:rsidR="00D27C67" w:rsidRDefault="00D2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0889"/>
      <w:docPartObj>
        <w:docPartGallery w:val="Page Numbers (Bottom of Page)"/>
        <w:docPartUnique/>
      </w:docPartObj>
    </w:sdtPr>
    <w:sdtEndPr>
      <w:rPr>
        <w:noProof/>
      </w:rPr>
    </w:sdtEndPr>
    <w:sdtContent>
      <w:p w14:paraId="1050F461" w14:textId="6BE2F8CB" w:rsidR="00EE2F36" w:rsidRDefault="00EE2F36">
        <w:pPr>
          <w:pStyle w:val="Footer"/>
          <w:jc w:val="center"/>
        </w:pPr>
        <w:r>
          <w:fldChar w:fldCharType="begin"/>
        </w:r>
        <w:r>
          <w:instrText xml:space="preserve"> PAGE   \* MERGEFORMAT </w:instrText>
        </w:r>
        <w:r>
          <w:fldChar w:fldCharType="separate"/>
        </w:r>
        <w:r w:rsidR="000643EF">
          <w:rPr>
            <w:noProof/>
          </w:rPr>
          <w:t>2</w:t>
        </w:r>
        <w:r>
          <w:rPr>
            <w:noProof/>
          </w:rPr>
          <w:fldChar w:fldCharType="end"/>
        </w:r>
      </w:p>
    </w:sdtContent>
  </w:sdt>
  <w:p w14:paraId="2A9F0C33" w14:textId="7C136D31" w:rsidR="00BD25D3" w:rsidRDefault="00BD25D3" w:rsidP="00BD25D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B68A" w14:textId="77777777" w:rsidR="00D27C67" w:rsidRDefault="00D27C67">
      <w:r>
        <w:separator/>
      </w:r>
    </w:p>
  </w:footnote>
  <w:footnote w:type="continuationSeparator" w:id="0">
    <w:p w14:paraId="57CFA347" w14:textId="77777777" w:rsidR="00D27C67" w:rsidRDefault="00D27C67">
      <w:r>
        <w:continuationSeparator/>
      </w:r>
    </w:p>
  </w:footnote>
  <w:footnote w:type="continuationNotice" w:id="1">
    <w:p w14:paraId="4AFDEC7D" w14:textId="77777777" w:rsidR="00D27C67" w:rsidRDefault="00D27C67"/>
  </w:footnote>
  <w:footnote w:id="2">
    <w:p w14:paraId="29970015" w14:textId="768A5207" w:rsidR="0090171E" w:rsidRPr="00CF2D41" w:rsidRDefault="0090171E" w:rsidP="0090171E">
      <w:pPr>
        <w:pStyle w:val="FootnoteText"/>
        <w:rPr>
          <w:rFonts w:ascii="Arial" w:hAnsi="Arial" w:cs="Arial"/>
          <w:lang w:val="hr-HR"/>
        </w:rPr>
      </w:pPr>
      <w:r w:rsidRPr="00CF2D41">
        <w:rPr>
          <w:rStyle w:val="FootnoteReference"/>
          <w:rFonts w:ascii="Arial" w:hAnsi="Arial" w:cs="Arial"/>
          <w:lang w:val="hr-HR"/>
        </w:rPr>
        <w:footnoteRef/>
      </w:r>
      <w:r w:rsidRPr="00CF2D41">
        <w:rPr>
          <w:rFonts w:ascii="Arial" w:hAnsi="Arial" w:cs="Arial"/>
          <w:lang w:val="hr-HR"/>
        </w:rPr>
        <w:t xml:space="preserve"> </w:t>
      </w:r>
      <w:r>
        <w:rPr>
          <w:rFonts w:ascii="Arial" w:hAnsi="Arial" w:cs="Arial"/>
          <w:lang w:val="hr-HR"/>
        </w:rPr>
        <w:t>P</w:t>
      </w:r>
      <w:r w:rsidRPr="00CF2D41">
        <w:rPr>
          <w:rFonts w:ascii="Arial" w:hAnsi="Arial" w:cs="Arial"/>
          <w:lang w:val="hr-HR"/>
        </w:rPr>
        <w:t>od pojmom fleksibilnost rada sudionici</w:t>
      </w:r>
      <w:r>
        <w:rPr>
          <w:rFonts w:ascii="Arial" w:hAnsi="Arial" w:cs="Arial"/>
          <w:lang w:val="hr-HR"/>
        </w:rPr>
        <w:t xml:space="preserve"> i sudionic</w:t>
      </w:r>
      <w:r w:rsidRPr="00CF2D41">
        <w:rPr>
          <w:rFonts w:ascii="Arial" w:hAnsi="Arial" w:cs="Arial"/>
          <w:lang w:val="hr-HR"/>
        </w:rPr>
        <w:t xml:space="preserve">e istraživanja navode rad od kuće, </w:t>
      </w:r>
      <w:r w:rsidR="00C56AEB">
        <w:rPr>
          <w:rFonts w:ascii="Arial" w:hAnsi="Arial" w:cs="Arial"/>
          <w:lang w:val="hr-HR"/>
        </w:rPr>
        <w:t>postojeći fleksibilni okvir u pogledu dolaska</w:t>
      </w:r>
      <w:r w:rsidRPr="00CF2D41">
        <w:rPr>
          <w:rFonts w:ascii="Arial" w:hAnsi="Arial" w:cs="Arial"/>
          <w:lang w:val="hr-HR"/>
        </w:rPr>
        <w:t xml:space="preserve"> i odlaska s </w:t>
      </w:r>
      <w:r w:rsidR="00031828">
        <w:rPr>
          <w:rFonts w:ascii="Arial" w:hAnsi="Arial" w:cs="Arial"/>
          <w:lang w:val="hr-HR"/>
        </w:rPr>
        <w:t>radnog mjesta</w:t>
      </w:r>
      <w:r w:rsidR="00C56AEB">
        <w:rPr>
          <w:rFonts w:ascii="Arial" w:hAnsi="Arial" w:cs="Arial"/>
          <w:lang w:val="hr-HR"/>
        </w:rPr>
        <w:t xml:space="preserve"> (fleksibilno radno vrijeme) </w:t>
      </w:r>
      <w:r w:rsidRPr="00CF2D41">
        <w:rPr>
          <w:rFonts w:ascii="Arial" w:hAnsi="Arial" w:cs="Arial"/>
          <w:lang w:val="hr-HR"/>
        </w:rPr>
        <w:t>te strategije organiziranja posla</w:t>
      </w:r>
      <w:r>
        <w:rPr>
          <w:rFonts w:ascii="Arial" w:hAnsi="Arial" w:cs="Arial"/>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0C32" w14:textId="77777777" w:rsidR="00BD25D3" w:rsidRDefault="00A75185">
    <w:pPr>
      <w:pStyle w:val="Header"/>
    </w:pPr>
    <w:r>
      <w:rPr>
        <w:noProof/>
        <w:lang w:val="en-GB" w:eastAsia="en-GB"/>
      </w:rPr>
      <w:drawing>
        <wp:anchor distT="0" distB="0" distL="114300" distR="114300" simplePos="0" relativeHeight="251658241" behindDoc="0" locked="0" layoutInCell="1" allowOverlap="1" wp14:anchorId="2A9F0C34" wp14:editId="2A9F0C35">
          <wp:simplePos x="0" y="0"/>
          <wp:positionH relativeFrom="column">
            <wp:align>center</wp:align>
          </wp:positionH>
          <wp:positionV relativeFrom="paragraph">
            <wp:posOffset>8255</wp:posOffset>
          </wp:positionV>
          <wp:extent cx="6680200" cy="694267"/>
          <wp:effectExtent l="25400" t="0" r="0" b="0"/>
          <wp:wrapSquare wrapText="bothSides"/>
          <wp:docPr id="11" name="Picture 11" descr="hr_header_v2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header_v2_HR.jpg"/>
                  <pic:cNvPicPr/>
                </pic:nvPicPr>
                <pic:blipFill>
                  <a:blip r:embed="rId1"/>
                  <a:stretch>
                    <a:fillRect/>
                  </a:stretch>
                </pic:blipFill>
                <pic:spPr>
                  <a:xfrm>
                    <a:off x="0" y="0"/>
                    <a:ext cx="6680200" cy="6942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5474" w14:textId="2034BD2B" w:rsidR="00443910" w:rsidRDefault="00443910" w:rsidP="00443910">
    <w:pPr>
      <w:pStyle w:val="Header"/>
    </w:pPr>
    <w:r>
      <w:rPr>
        <w:noProof/>
        <w:lang w:val="en-GB" w:eastAsia="en-GB"/>
      </w:rPr>
      <w:drawing>
        <wp:anchor distT="0" distB="0" distL="114300" distR="114300" simplePos="0" relativeHeight="251664385" behindDoc="0" locked="0" layoutInCell="1" allowOverlap="1" wp14:anchorId="2249EF4B" wp14:editId="1A745E10">
          <wp:simplePos x="0" y="0"/>
          <wp:positionH relativeFrom="column">
            <wp:posOffset>-685800</wp:posOffset>
          </wp:positionH>
          <wp:positionV relativeFrom="paragraph">
            <wp:posOffset>6985</wp:posOffset>
          </wp:positionV>
          <wp:extent cx="6680200" cy="694267"/>
          <wp:effectExtent l="25400" t="0" r="0" b="0"/>
          <wp:wrapSquare wrapText="bothSides"/>
          <wp:docPr id="3" name="Picture 3" descr="hr_header_v2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header_v2_HR.jpg"/>
                  <pic:cNvPicPr/>
                </pic:nvPicPr>
                <pic:blipFill>
                  <a:blip r:embed="rId1"/>
                  <a:stretch>
                    <a:fillRect/>
                  </a:stretch>
                </pic:blipFill>
                <pic:spPr>
                  <a:xfrm>
                    <a:off x="0" y="0"/>
                    <a:ext cx="6680200" cy="6942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DFCD" w14:textId="77777777" w:rsidR="00AD584F" w:rsidRDefault="00AD584F">
    <w:pPr>
      <w:pStyle w:val="Header"/>
    </w:pPr>
    <w:r>
      <w:rPr>
        <w:noProof/>
        <w:lang w:val="en-GB" w:eastAsia="en-GB"/>
      </w:rPr>
      <w:drawing>
        <wp:anchor distT="0" distB="0" distL="114300" distR="114300" simplePos="0" relativeHeight="251662337" behindDoc="0" locked="0" layoutInCell="1" allowOverlap="1" wp14:anchorId="4BDB76E4" wp14:editId="6F759A3D">
          <wp:simplePos x="0" y="0"/>
          <wp:positionH relativeFrom="column">
            <wp:posOffset>-632460</wp:posOffset>
          </wp:positionH>
          <wp:positionV relativeFrom="paragraph">
            <wp:posOffset>-174625</wp:posOffset>
          </wp:positionV>
          <wp:extent cx="6680200" cy="694267"/>
          <wp:effectExtent l="25400" t="0" r="0" b="0"/>
          <wp:wrapSquare wrapText="bothSides"/>
          <wp:docPr id="12" name="Picture 12" descr="hr_header_v2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header_v2_HR.jpg"/>
                  <pic:cNvPicPr/>
                </pic:nvPicPr>
                <pic:blipFill>
                  <a:blip r:embed="rId1"/>
                  <a:stretch>
                    <a:fillRect/>
                  </a:stretch>
                </pic:blipFill>
                <pic:spPr>
                  <a:xfrm>
                    <a:off x="0" y="0"/>
                    <a:ext cx="6680200" cy="6942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040A8"/>
    <w:multiLevelType w:val="hybridMultilevel"/>
    <w:tmpl w:val="370E73FE"/>
    <w:lvl w:ilvl="0" w:tplc="CE924B4C">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2FB50228"/>
    <w:multiLevelType w:val="hybridMultilevel"/>
    <w:tmpl w:val="938CDDE2"/>
    <w:lvl w:ilvl="0" w:tplc="670234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565CF9"/>
    <w:multiLevelType w:val="hybridMultilevel"/>
    <w:tmpl w:val="5C5C9F40"/>
    <w:lvl w:ilvl="0" w:tplc="D9C29C66">
      <w:numFmt w:val="bullet"/>
      <w:lvlText w:val="-"/>
      <w:lvlJc w:val="left"/>
      <w:pPr>
        <w:ind w:left="1800" w:hanging="360"/>
      </w:pPr>
      <w:rPr>
        <w:rFonts w:ascii="Arial" w:eastAsia="Times New Roman"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 w15:restartNumberingAfterBreak="0">
    <w:nsid w:val="3FCF2390"/>
    <w:multiLevelType w:val="hybridMultilevel"/>
    <w:tmpl w:val="6916FD0A"/>
    <w:lvl w:ilvl="0" w:tplc="CE924B4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554D07"/>
    <w:multiLevelType w:val="hybridMultilevel"/>
    <w:tmpl w:val="85046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2544F4"/>
    <w:multiLevelType w:val="hybridMultilevel"/>
    <w:tmpl w:val="44C81302"/>
    <w:lvl w:ilvl="0" w:tplc="5D90E762">
      <w:start w:val="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8A31A7"/>
    <w:multiLevelType w:val="hybridMultilevel"/>
    <w:tmpl w:val="473A0DFA"/>
    <w:lvl w:ilvl="0" w:tplc="CE924B4C">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605A16B3"/>
    <w:multiLevelType w:val="hybridMultilevel"/>
    <w:tmpl w:val="1F9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24653"/>
    <w:multiLevelType w:val="hybridMultilevel"/>
    <w:tmpl w:val="5DC81432"/>
    <w:lvl w:ilvl="0" w:tplc="4580B9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72ED2"/>
    <w:multiLevelType w:val="hybridMultilevel"/>
    <w:tmpl w:val="B28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C67F0"/>
    <w:multiLevelType w:val="multilevel"/>
    <w:tmpl w:val="4EEE8A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6"/>
  </w:num>
  <w:num w:numId="5">
    <w:abstractNumId w:val="9"/>
  </w:num>
  <w:num w:numId="6">
    <w:abstractNumId w:val="10"/>
  </w:num>
  <w:num w:numId="7">
    <w:abstractNumId w:val="5"/>
  </w:num>
  <w:num w:numId="8">
    <w:abstractNumId w:val="7"/>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3"/>
    <w:rsid w:val="00006E4C"/>
    <w:rsid w:val="00031828"/>
    <w:rsid w:val="000643EF"/>
    <w:rsid w:val="000A698F"/>
    <w:rsid w:val="000B0445"/>
    <w:rsid w:val="000B6126"/>
    <w:rsid w:val="000D62D7"/>
    <w:rsid w:val="00120DA9"/>
    <w:rsid w:val="00123831"/>
    <w:rsid w:val="001522B6"/>
    <w:rsid w:val="00153C9E"/>
    <w:rsid w:val="00192152"/>
    <w:rsid w:val="00226F45"/>
    <w:rsid w:val="0024065C"/>
    <w:rsid w:val="0025708B"/>
    <w:rsid w:val="00277F2D"/>
    <w:rsid w:val="0028110C"/>
    <w:rsid w:val="00290935"/>
    <w:rsid w:val="002D2CC0"/>
    <w:rsid w:val="003015B4"/>
    <w:rsid w:val="003027F2"/>
    <w:rsid w:val="00337FD1"/>
    <w:rsid w:val="00344DB8"/>
    <w:rsid w:val="0036297A"/>
    <w:rsid w:val="0037698A"/>
    <w:rsid w:val="003A2B5E"/>
    <w:rsid w:val="003B5F44"/>
    <w:rsid w:val="00405049"/>
    <w:rsid w:val="00425BE5"/>
    <w:rsid w:val="004333F1"/>
    <w:rsid w:val="004360DA"/>
    <w:rsid w:val="00440A8C"/>
    <w:rsid w:val="00443910"/>
    <w:rsid w:val="00457A38"/>
    <w:rsid w:val="004729D2"/>
    <w:rsid w:val="00484E39"/>
    <w:rsid w:val="004B2C96"/>
    <w:rsid w:val="004E25D3"/>
    <w:rsid w:val="004F1A8B"/>
    <w:rsid w:val="00544632"/>
    <w:rsid w:val="005510A6"/>
    <w:rsid w:val="005572E9"/>
    <w:rsid w:val="00584F11"/>
    <w:rsid w:val="005A1AC8"/>
    <w:rsid w:val="0060235F"/>
    <w:rsid w:val="006157F6"/>
    <w:rsid w:val="006850E0"/>
    <w:rsid w:val="006916A5"/>
    <w:rsid w:val="006A76A0"/>
    <w:rsid w:val="006F2AF0"/>
    <w:rsid w:val="006F70A3"/>
    <w:rsid w:val="007002D2"/>
    <w:rsid w:val="00707BCE"/>
    <w:rsid w:val="00717B7F"/>
    <w:rsid w:val="00741F44"/>
    <w:rsid w:val="00743980"/>
    <w:rsid w:val="007844AE"/>
    <w:rsid w:val="007B7126"/>
    <w:rsid w:val="007F132D"/>
    <w:rsid w:val="007F6DC0"/>
    <w:rsid w:val="008007CC"/>
    <w:rsid w:val="008358A7"/>
    <w:rsid w:val="00847501"/>
    <w:rsid w:val="008768AF"/>
    <w:rsid w:val="008C095C"/>
    <w:rsid w:val="008E1922"/>
    <w:rsid w:val="0090171E"/>
    <w:rsid w:val="00905155"/>
    <w:rsid w:val="0092047B"/>
    <w:rsid w:val="009319E8"/>
    <w:rsid w:val="00931EAF"/>
    <w:rsid w:val="00944616"/>
    <w:rsid w:val="009464CD"/>
    <w:rsid w:val="00974C2A"/>
    <w:rsid w:val="009774A5"/>
    <w:rsid w:val="009C3760"/>
    <w:rsid w:val="009D47F4"/>
    <w:rsid w:val="009E15B2"/>
    <w:rsid w:val="009E2A37"/>
    <w:rsid w:val="009F74FD"/>
    <w:rsid w:val="00A12228"/>
    <w:rsid w:val="00A22624"/>
    <w:rsid w:val="00A4211B"/>
    <w:rsid w:val="00A52BE7"/>
    <w:rsid w:val="00A65713"/>
    <w:rsid w:val="00A75185"/>
    <w:rsid w:val="00AB669E"/>
    <w:rsid w:val="00AC095F"/>
    <w:rsid w:val="00AC3E0E"/>
    <w:rsid w:val="00AD584F"/>
    <w:rsid w:val="00AD7AA3"/>
    <w:rsid w:val="00B020C2"/>
    <w:rsid w:val="00B0456B"/>
    <w:rsid w:val="00B263FD"/>
    <w:rsid w:val="00B37AAD"/>
    <w:rsid w:val="00B4010F"/>
    <w:rsid w:val="00B64EDD"/>
    <w:rsid w:val="00BB3D02"/>
    <w:rsid w:val="00BD25D3"/>
    <w:rsid w:val="00BF5ABA"/>
    <w:rsid w:val="00C21A07"/>
    <w:rsid w:val="00C352A2"/>
    <w:rsid w:val="00C56AEB"/>
    <w:rsid w:val="00C57EE1"/>
    <w:rsid w:val="00C94684"/>
    <w:rsid w:val="00CF140F"/>
    <w:rsid w:val="00D0177C"/>
    <w:rsid w:val="00D27C67"/>
    <w:rsid w:val="00D90D8E"/>
    <w:rsid w:val="00D93940"/>
    <w:rsid w:val="00DA25F1"/>
    <w:rsid w:val="00DA501B"/>
    <w:rsid w:val="00E4587B"/>
    <w:rsid w:val="00E719F9"/>
    <w:rsid w:val="00E767CE"/>
    <w:rsid w:val="00E800F9"/>
    <w:rsid w:val="00EA534C"/>
    <w:rsid w:val="00EC789B"/>
    <w:rsid w:val="00EE2F36"/>
    <w:rsid w:val="00EF0F31"/>
    <w:rsid w:val="00EF30B5"/>
    <w:rsid w:val="00EF4AAB"/>
    <w:rsid w:val="00F25A3F"/>
    <w:rsid w:val="00F5518C"/>
    <w:rsid w:val="00FB0A0D"/>
    <w:rsid w:val="00FC178F"/>
    <w:rsid w:val="00FC343C"/>
    <w:rsid w:val="00FF49A2"/>
    <w:rsid w:val="03E9FECE"/>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F0C2F"/>
  <w15:docId w15:val="{F472EF7B-A174-4159-950B-6A487CC5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DD"/>
  </w:style>
  <w:style w:type="paragraph" w:styleId="Heading1">
    <w:name w:val="heading 1"/>
    <w:basedOn w:val="Normal"/>
    <w:next w:val="Normal"/>
    <w:link w:val="Heading1Char"/>
    <w:uiPriority w:val="9"/>
    <w:qFormat/>
    <w:rsid w:val="00B64ED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64ED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64ED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64ED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64ED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64ED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64ED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64ED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64ED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5D3"/>
    <w:pPr>
      <w:tabs>
        <w:tab w:val="center" w:pos="4153"/>
        <w:tab w:val="right" w:pos="8306"/>
      </w:tabs>
    </w:pPr>
  </w:style>
  <w:style w:type="character" w:customStyle="1" w:styleId="HeaderChar">
    <w:name w:val="Header Char"/>
    <w:basedOn w:val="DefaultParagraphFont"/>
    <w:link w:val="Header"/>
    <w:uiPriority w:val="99"/>
    <w:rsid w:val="00BD25D3"/>
  </w:style>
  <w:style w:type="paragraph" w:styleId="Footer">
    <w:name w:val="footer"/>
    <w:basedOn w:val="Normal"/>
    <w:link w:val="FooterChar"/>
    <w:uiPriority w:val="99"/>
    <w:unhideWhenUsed/>
    <w:rsid w:val="00BD25D3"/>
    <w:pPr>
      <w:tabs>
        <w:tab w:val="center" w:pos="4153"/>
        <w:tab w:val="right" w:pos="8306"/>
      </w:tabs>
    </w:pPr>
  </w:style>
  <w:style w:type="character" w:customStyle="1" w:styleId="FooterChar">
    <w:name w:val="Footer Char"/>
    <w:basedOn w:val="DefaultParagraphFont"/>
    <w:link w:val="Footer"/>
    <w:uiPriority w:val="99"/>
    <w:rsid w:val="00BD25D3"/>
  </w:style>
  <w:style w:type="character" w:styleId="Hyperlink">
    <w:name w:val="Hyperlink"/>
    <w:basedOn w:val="DefaultParagraphFont"/>
    <w:uiPriority w:val="99"/>
    <w:unhideWhenUsed/>
    <w:rsid w:val="00717B7F"/>
    <w:rPr>
      <w:color w:val="0000FF" w:themeColor="hyperlink"/>
      <w:u w:val="single"/>
    </w:rPr>
  </w:style>
  <w:style w:type="character" w:styleId="CommentReference">
    <w:name w:val="annotation reference"/>
    <w:uiPriority w:val="99"/>
    <w:semiHidden/>
    <w:unhideWhenUsed/>
    <w:rsid w:val="00AC3E0E"/>
    <w:rPr>
      <w:sz w:val="16"/>
      <w:szCs w:val="16"/>
    </w:rPr>
  </w:style>
  <w:style w:type="paragraph" w:styleId="CommentText">
    <w:name w:val="annotation text"/>
    <w:basedOn w:val="Normal"/>
    <w:link w:val="CommentTextChar"/>
    <w:uiPriority w:val="99"/>
    <w:semiHidden/>
    <w:unhideWhenUsed/>
    <w:rsid w:val="00AC3E0E"/>
    <w:rPr>
      <w:rFonts w:ascii="Times New Roman" w:eastAsia="Times New Roman" w:hAnsi="Times New Roman" w:cs="Times New Roman"/>
      <w:sz w:val="20"/>
      <w:szCs w:val="20"/>
      <w:lang w:val="hr-HR"/>
    </w:rPr>
  </w:style>
  <w:style w:type="character" w:customStyle="1" w:styleId="CommentTextChar">
    <w:name w:val="Comment Text Char"/>
    <w:basedOn w:val="DefaultParagraphFont"/>
    <w:link w:val="CommentText"/>
    <w:uiPriority w:val="99"/>
    <w:semiHidden/>
    <w:rsid w:val="00AC3E0E"/>
    <w:rPr>
      <w:rFonts w:ascii="Times New Roman" w:eastAsia="Times New Roman" w:hAnsi="Times New Roman" w:cs="Times New Roman"/>
      <w:sz w:val="20"/>
      <w:szCs w:val="20"/>
      <w:lang w:val="hr-HR"/>
    </w:rPr>
  </w:style>
  <w:style w:type="character" w:customStyle="1" w:styleId="Heading1Char">
    <w:name w:val="Heading 1 Char"/>
    <w:basedOn w:val="DefaultParagraphFont"/>
    <w:link w:val="Heading1"/>
    <w:uiPriority w:val="9"/>
    <w:rsid w:val="00B64EDD"/>
    <w:rPr>
      <w:rFonts w:asciiTheme="majorHAnsi" w:eastAsiaTheme="majorEastAsia" w:hAnsiTheme="majorHAnsi" w:cstheme="majorBidi"/>
      <w:color w:val="244061" w:themeColor="accent1" w:themeShade="80"/>
      <w:sz w:val="36"/>
      <w:szCs w:val="36"/>
    </w:rPr>
  </w:style>
  <w:style w:type="paragraph" w:styleId="ListParagraph">
    <w:name w:val="List Paragraph"/>
    <w:basedOn w:val="Normal"/>
    <w:uiPriority w:val="34"/>
    <w:qFormat/>
    <w:rsid w:val="000A698F"/>
    <w:pPr>
      <w:ind w:left="720"/>
      <w:contextualSpacing/>
    </w:pPr>
  </w:style>
  <w:style w:type="paragraph" w:styleId="CommentSubject">
    <w:name w:val="annotation subject"/>
    <w:basedOn w:val="CommentText"/>
    <w:next w:val="CommentText"/>
    <w:link w:val="CommentSubjectChar"/>
    <w:uiPriority w:val="99"/>
    <w:semiHidden/>
    <w:unhideWhenUsed/>
    <w:rsid w:val="000A698F"/>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A698F"/>
    <w:rPr>
      <w:rFonts w:ascii="Times New Roman" w:eastAsia="Times New Roman" w:hAnsi="Times New Roman" w:cs="Times New Roman"/>
      <w:b/>
      <w:bCs/>
      <w:sz w:val="20"/>
      <w:szCs w:val="20"/>
      <w:lang w:val="hr-HR"/>
    </w:rPr>
  </w:style>
  <w:style w:type="character" w:customStyle="1" w:styleId="Heading2Char">
    <w:name w:val="Heading 2 Char"/>
    <w:basedOn w:val="DefaultParagraphFont"/>
    <w:link w:val="Heading2"/>
    <w:uiPriority w:val="9"/>
    <w:rsid w:val="00B64E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64ED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64ED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64ED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64ED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64ED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64ED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64ED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B64EDD"/>
    <w:pPr>
      <w:spacing w:line="240" w:lineRule="auto"/>
    </w:pPr>
    <w:rPr>
      <w:b/>
      <w:bCs/>
      <w:smallCaps/>
      <w:color w:val="1F497D" w:themeColor="text2"/>
    </w:rPr>
  </w:style>
  <w:style w:type="paragraph" w:styleId="Title">
    <w:name w:val="Title"/>
    <w:basedOn w:val="Normal"/>
    <w:next w:val="Normal"/>
    <w:link w:val="TitleChar"/>
    <w:uiPriority w:val="10"/>
    <w:qFormat/>
    <w:rsid w:val="00B64ED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64EDD"/>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64ED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64EDD"/>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64EDD"/>
    <w:rPr>
      <w:b/>
      <w:bCs/>
    </w:rPr>
  </w:style>
  <w:style w:type="character" w:styleId="Emphasis">
    <w:name w:val="Emphasis"/>
    <w:basedOn w:val="DefaultParagraphFont"/>
    <w:uiPriority w:val="20"/>
    <w:qFormat/>
    <w:rsid w:val="00B64EDD"/>
    <w:rPr>
      <w:i/>
      <w:iCs/>
    </w:rPr>
  </w:style>
  <w:style w:type="paragraph" w:styleId="NoSpacing">
    <w:name w:val="No Spacing"/>
    <w:uiPriority w:val="1"/>
    <w:qFormat/>
    <w:rsid w:val="00B64EDD"/>
    <w:pPr>
      <w:spacing w:after="0" w:line="240" w:lineRule="auto"/>
    </w:pPr>
  </w:style>
  <w:style w:type="paragraph" w:styleId="Quote">
    <w:name w:val="Quote"/>
    <w:basedOn w:val="Normal"/>
    <w:next w:val="Normal"/>
    <w:link w:val="QuoteChar"/>
    <w:uiPriority w:val="29"/>
    <w:qFormat/>
    <w:rsid w:val="00B64ED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64EDD"/>
    <w:rPr>
      <w:color w:val="1F497D" w:themeColor="text2"/>
      <w:sz w:val="24"/>
      <w:szCs w:val="24"/>
    </w:rPr>
  </w:style>
  <w:style w:type="paragraph" w:styleId="IntenseQuote">
    <w:name w:val="Intense Quote"/>
    <w:basedOn w:val="Normal"/>
    <w:next w:val="Normal"/>
    <w:link w:val="IntenseQuoteChar"/>
    <w:uiPriority w:val="30"/>
    <w:qFormat/>
    <w:rsid w:val="00B64ED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64EDD"/>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64EDD"/>
    <w:rPr>
      <w:i/>
      <w:iCs/>
      <w:color w:val="595959" w:themeColor="text1" w:themeTint="A6"/>
    </w:rPr>
  </w:style>
  <w:style w:type="character" w:styleId="IntenseEmphasis">
    <w:name w:val="Intense Emphasis"/>
    <w:basedOn w:val="DefaultParagraphFont"/>
    <w:uiPriority w:val="21"/>
    <w:qFormat/>
    <w:rsid w:val="00B64EDD"/>
    <w:rPr>
      <w:b/>
      <w:bCs/>
      <w:i/>
      <w:iCs/>
    </w:rPr>
  </w:style>
  <w:style w:type="character" w:styleId="SubtleReference">
    <w:name w:val="Subtle Reference"/>
    <w:basedOn w:val="DefaultParagraphFont"/>
    <w:uiPriority w:val="31"/>
    <w:qFormat/>
    <w:rsid w:val="00B64ED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64EDD"/>
    <w:rPr>
      <w:b/>
      <w:bCs/>
      <w:smallCaps/>
      <w:color w:val="1F497D" w:themeColor="text2"/>
      <w:u w:val="single"/>
    </w:rPr>
  </w:style>
  <w:style w:type="character" w:styleId="BookTitle">
    <w:name w:val="Book Title"/>
    <w:basedOn w:val="DefaultParagraphFont"/>
    <w:uiPriority w:val="33"/>
    <w:qFormat/>
    <w:rsid w:val="00B64EDD"/>
    <w:rPr>
      <w:b/>
      <w:bCs/>
      <w:smallCaps/>
      <w:spacing w:val="10"/>
    </w:rPr>
  </w:style>
  <w:style w:type="paragraph" w:styleId="TOCHeading">
    <w:name w:val="TOC Heading"/>
    <w:basedOn w:val="Heading1"/>
    <w:next w:val="Normal"/>
    <w:uiPriority w:val="39"/>
    <w:semiHidden/>
    <w:unhideWhenUsed/>
    <w:qFormat/>
    <w:rsid w:val="00B64EDD"/>
    <w:pPr>
      <w:outlineLvl w:val="9"/>
    </w:pPr>
  </w:style>
  <w:style w:type="character" w:customStyle="1" w:styleId="UnresolvedMention1">
    <w:name w:val="Unresolved Mention1"/>
    <w:basedOn w:val="DefaultParagraphFont"/>
    <w:uiPriority w:val="99"/>
    <w:semiHidden/>
    <w:unhideWhenUsed/>
    <w:rsid w:val="00974C2A"/>
    <w:rPr>
      <w:color w:val="605E5C"/>
      <w:shd w:val="clear" w:color="auto" w:fill="E1DFDD"/>
    </w:rPr>
  </w:style>
  <w:style w:type="paragraph" w:styleId="FootnoteText">
    <w:name w:val="footnote text"/>
    <w:basedOn w:val="Normal"/>
    <w:link w:val="FootnoteTextChar"/>
    <w:uiPriority w:val="99"/>
    <w:semiHidden/>
    <w:unhideWhenUsed/>
    <w:rsid w:val="0090171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0171E"/>
    <w:rPr>
      <w:rFonts w:eastAsiaTheme="minorHAnsi"/>
      <w:sz w:val="20"/>
      <w:szCs w:val="20"/>
    </w:rPr>
  </w:style>
  <w:style w:type="character" w:styleId="FootnoteReference">
    <w:name w:val="footnote reference"/>
    <w:basedOn w:val="DefaultParagraphFont"/>
    <w:uiPriority w:val="99"/>
    <w:semiHidden/>
    <w:unhideWhenUsed/>
    <w:rsid w:val="0090171E"/>
    <w:rPr>
      <w:vertAlign w:val="superscript"/>
    </w:rPr>
  </w:style>
  <w:style w:type="paragraph" w:styleId="BalloonText">
    <w:name w:val="Balloon Text"/>
    <w:basedOn w:val="Normal"/>
    <w:link w:val="BalloonTextChar"/>
    <w:uiPriority w:val="99"/>
    <w:semiHidden/>
    <w:unhideWhenUsed/>
    <w:rsid w:val="007B7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126"/>
    <w:rPr>
      <w:rFonts w:ascii="Segoe UI" w:hAnsi="Segoe UI" w:cs="Segoe UI"/>
      <w:sz w:val="18"/>
      <w:szCs w:val="18"/>
    </w:rPr>
  </w:style>
  <w:style w:type="table" w:styleId="TableGrid">
    <w:name w:val="Table Grid"/>
    <w:basedOn w:val="TableNormal"/>
    <w:uiPriority w:val="39"/>
    <w:rsid w:val="004333F1"/>
    <w:pPr>
      <w:spacing w:after="0" w:line="240" w:lineRule="auto"/>
    </w:pPr>
    <w:rPr>
      <w:rFonts w:eastAsiaTheme="minorHAns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4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3754">
      <w:bodyDiv w:val="1"/>
      <w:marLeft w:val="0"/>
      <w:marRight w:val="0"/>
      <w:marTop w:val="0"/>
      <w:marBottom w:val="0"/>
      <w:divBdr>
        <w:top w:val="none" w:sz="0" w:space="0" w:color="auto"/>
        <w:left w:val="none" w:sz="0" w:space="0" w:color="auto"/>
        <w:bottom w:val="none" w:sz="0" w:space="0" w:color="auto"/>
        <w:right w:val="none" w:sz="0" w:space="0" w:color="auto"/>
      </w:divBdr>
    </w:div>
    <w:div w:id="1481579497">
      <w:bodyDiv w:val="1"/>
      <w:marLeft w:val="0"/>
      <w:marRight w:val="0"/>
      <w:marTop w:val="0"/>
      <w:marBottom w:val="0"/>
      <w:divBdr>
        <w:top w:val="none" w:sz="0" w:space="0" w:color="auto"/>
        <w:left w:val="none" w:sz="0" w:space="0" w:color="auto"/>
        <w:bottom w:val="none" w:sz="0" w:space="0" w:color="auto"/>
        <w:right w:val="none" w:sz="0" w:space="0" w:color="auto"/>
      </w:divBdr>
    </w:div>
    <w:div w:id="207411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resource.html?uri=cellar:9e8d52e1-2c70-11e6-b497-01aa75ed71a1.0011.01/DOC_2&amp;format=PDF"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yperlink" Target="https://www.prs.hr/cms" TargetMode="External"/><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avnopravnost.gov.hr/UserDocsImages/arhiva/preuzimanje/biblioteka-ona/Publikacija_Pojmovnik%20rodne%20terminologije%20prema%20standardima%20Europske%20unije.pdf" TargetMode="External"/><Relationship Id="rId20" Type="http://schemas.openxmlformats.org/officeDocument/2006/relationships/chart" Target="charts/chart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ge.europa.eu/gender-mainstreaming/toolkits/gea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ur-lex.europa.eu/legal-content/HR/ALL/?uri=OJ%3AC%3A2007%3A306%3ATOC"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HR/TXT/PDF/?uri=CELEX:12016P/TXT&amp;from=R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GB" sz="1000">
                <a:solidFill>
                  <a:schemeClr val="tx2">
                    <a:lumMod val="50000"/>
                  </a:schemeClr>
                </a:solidFill>
              </a:rPr>
              <a:t>Raspodjela </a:t>
            </a:r>
            <a:r>
              <a:rPr lang="hr-HR" sz="1000" b="1" i="0" u="none" strike="noStrike" baseline="0">
                <a:solidFill>
                  <a:srgbClr val="1F497D">
                    <a:lumMod val="50000"/>
                  </a:srgbClr>
                </a:solidFill>
                <a:effectLst/>
              </a:rPr>
              <a:t>radnica</a:t>
            </a:r>
            <a:r>
              <a:rPr lang="hr-HR" sz="1000" b="1" i="0" u="none" strike="noStrike" baseline="0">
                <a:effectLst/>
              </a:rPr>
              <a:t> i radnika</a:t>
            </a:r>
            <a:r>
              <a:rPr lang="en-GB" sz="1000">
                <a:solidFill>
                  <a:schemeClr val="tx2">
                    <a:lumMod val="50000"/>
                  </a:schemeClr>
                </a:solidFill>
              </a:rPr>
              <a:t> po spolu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rgbClr val="0099CC"/>
              </a:solidFill>
              <a:ln>
                <a:noFill/>
              </a:ln>
              <a:effectLst/>
            </c:spPr>
            <c:extLst>
              <c:ext xmlns:c16="http://schemas.microsoft.com/office/drawing/2014/chart" uri="{C3380CC4-5D6E-409C-BE32-E72D297353CC}">
                <c16:uniqueId val="{00000001-DC7E-4E40-A68B-FFB5C7E443D5}"/>
              </c:ext>
            </c:extLst>
          </c:dPt>
          <c:dPt>
            <c:idx val="1"/>
            <c:bubble3D val="0"/>
            <c:spPr>
              <a:solidFill>
                <a:srgbClr val="E25B00"/>
              </a:solidFill>
              <a:ln>
                <a:noFill/>
              </a:ln>
              <a:effectLst/>
            </c:spPr>
            <c:extLst>
              <c:ext xmlns:c16="http://schemas.microsoft.com/office/drawing/2014/chart" uri="{C3380CC4-5D6E-409C-BE32-E72D297353CC}">
                <c16:uniqueId val="{00000003-DC7E-4E40-A68B-FFB5C7E443D5}"/>
              </c:ext>
            </c:extLst>
          </c:dPt>
          <c:dLbls>
            <c:dLbl>
              <c:idx val="0"/>
              <c:layout>
                <c:manualLayout>
                  <c:x val="3.7954166666666588E-2"/>
                  <c:y val="-2.015611111111123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7E-4E40-A68B-FFB5C7E443D5}"/>
                </c:ext>
              </c:extLst>
            </c:dLbl>
            <c:dLbl>
              <c:idx val="1"/>
              <c:layout>
                <c:manualLayout>
                  <c:x val="4.942361111111071E-3"/>
                  <c:y val="1.449777777777777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7E-4E40-A68B-FFB5C7E443D5}"/>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'[GEP_AMPEU_kadrovska analiza.xlsx]Svojstvo'!$B$14:$B$15</c:f>
              <c:strCache>
                <c:ptCount val="2"/>
                <c:pt idx="0">
                  <c:v>Žene</c:v>
                </c:pt>
                <c:pt idx="1">
                  <c:v>Muškarci</c:v>
                </c:pt>
              </c:strCache>
            </c:strRef>
          </c:cat>
          <c:val>
            <c:numRef>
              <c:f>'[GEP_AMPEU_kadrovska analiza.xlsx]Svojstvo'!$D$14:$D$15</c:f>
              <c:numCache>
                <c:formatCode>0%</c:formatCode>
                <c:ptCount val="2"/>
                <c:pt idx="0">
                  <c:v>0.86868686868686873</c:v>
                </c:pt>
                <c:pt idx="1">
                  <c:v>0.13131313131313133</c:v>
                </c:pt>
              </c:numCache>
            </c:numRef>
          </c:val>
          <c:extLst>
            <c:ext xmlns:c16="http://schemas.microsoft.com/office/drawing/2014/chart" uri="{C3380CC4-5D6E-409C-BE32-E72D297353CC}">
              <c16:uniqueId val="{00000004-DC7E-4E40-A68B-FFB5C7E443D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GB" sz="900">
                <a:solidFill>
                  <a:schemeClr val="tx2">
                    <a:lumMod val="50000"/>
                  </a:schemeClr>
                </a:solidFill>
              </a:rPr>
              <a:t>Raspodjela </a:t>
            </a:r>
            <a:r>
              <a:rPr lang="hr-HR" sz="900" b="1" i="0" u="none" strike="noStrike" baseline="0">
                <a:solidFill>
                  <a:srgbClr val="1F497D">
                    <a:lumMod val="50000"/>
                  </a:srgbClr>
                </a:solidFill>
                <a:effectLst/>
              </a:rPr>
              <a:t>radnika</a:t>
            </a:r>
            <a:r>
              <a:rPr lang="hr-HR" sz="900" b="1" i="0" u="none" strike="noStrike" baseline="0">
                <a:effectLst/>
              </a:rPr>
              <a:t> i radnica</a:t>
            </a:r>
            <a:r>
              <a:rPr lang="en-GB" sz="900">
                <a:solidFill>
                  <a:schemeClr val="tx2">
                    <a:lumMod val="50000"/>
                  </a:schemeClr>
                </a:solidFill>
              </a:rPr>
              <a:t> po spolu na upravljačkim funkcijama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rgbClr val="0099CC"/>
              </a:solidFill>
              <a:ln>
                <a:noFill/>
              </a:ln>
              <a:effectLst/>
            </c:spPr>
            <c:extLst>
              <c:ext xmlns:c16="http://schemas.microsoft.com/office/drawing/2014/chart" uri="{C3380CC4-5D6E-409C-BE32-E72D297353CC}">
                <c16:uniqueId val="{00000001-FD62-4EA1-BC2F-C8116CD35050}"/>
              </c:ext>
            </c:extLst>
          </c:dPt>
          <c:dPt>
            <c:idx val="1"/>
            <c:bubble3D val="0"/>
            <c:spPr>
              <a:solidFill>
                <a:srgbClr val="E25B00"/>
              </a:solidFill>
              <a:ln>
                <a:noFill/>
              </a:ln>
              <a:effectLst/>
            </c:spPr>
            <c:extLst>
              <c:ext xmlns:c16="http://schemas.microsoft.com/office/drawing/2014/chart" uri="{C3380CC4-5D6E-409C-BE32-E72D297353CC}">
                <c16:uniqueId val="{00000003-FD62-4EA1-BC2F-C8116CD35050}"/>
              </c:ext>
            </c:extLst>
          </c:dPt>
          <c:dLbls>
            <c:dLbl>
              <c:idx val="0"/>
              <c:layout>
                <c:manualLayout>
                  <c:x val="3.0435763888888887E-2"/>
                  <c:y val="-3.08033333333333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62-4EA1-BC2F-C8116CD35050}"/>
                </c:ext>
              </c:extLst>
            </c:dLbl>
            <c:dLbl>
              <c:idx val="1"/>
              <c:layout>
                <c:manualLayout>
                  <c:x val="2.183125E-2"/>
                  <c:y val="1.632499999999999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62-4EA1-BC2F-C8116CD35050}"/>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'[GEP_AMPEU_kadrovska analiza.xlsx]Svojstvo'!$B$25:$B$26</c:f>
              <c:strCache>
                <c:ptCount val="2"/>
                <c:pt idx="0">
                  <c:v>Žene</c:v>
                </c:pt>
                <c:pt idx="1">
                  <c:v>Muškarci</c:v>
                </c:pt>
              </c:strCache>
            </c:strRef>
          </c:cat>
          <c:val>
            <c:numRef>
              <c:f>'[GEP_AMPEU_kadrovska analiza.xlsx]Svojstvo'!$D$25:$D$26</c:f>
              <c:numCache>
                <c:formatCode>0%</c:formatCode>
                <c:ptCount val="2"/>
                <c:pt idx="0">
                  <c:v>0.8571428571428571</c:v>
                </c:pt>
                <c:pt idx="1">
                  <c:v>0.14285714285714285</c:v>
                </c:pt>
              </c:numCache>
            </c:numRef>
          </c:val>
          <c:extLst>
            <c:ext xmlns:c16="http://schemas.microsoft.com/office/drawing/2014/chart" uri="{C3380CC4-5D6E-409C-BE32-E72D297353CC}">
              <c16:uniqueId val="{00000004-FD62-4EA1-BC2F-C8116CD3505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GB" sz="1000">
                <a:solidFill>
                  <a:schemeClr val="tx2">
                    <a:lumMod val="50000"/>
                  </a:schemeClr>
                </a:solidFill>
              </a:rPr>
              <a:t>Raspodjela </a:t>
            </a:r>
            <a:r>
              <a:rPr lang="en-US" sz="1000" b="1" i="0" u="none" strike="noStrike" baseline="0">
                <a:effectLst/>
              </a:rPr>
              <a:t>rad</a:t>
            </a:r>
            <a:r>
              <a:rPr lang="hr-HR" sz="1000" b="1" i="0" u="none" strike="noStrike" baseline="0">
                <a:effectLst/>
              </a:rPr>
              <a:t>ni</a:t>
            </a:r>
            <a:r>
              <a:rPr lang="en-US" sz="1000" b="1" i="0" u="none" strike="noStrike" baseline="0">
                <a:effectLst/>
              </a:rPr>
              <a:t>c</a:t>
            </a:r>
            <a:r>
              <a:rPr lang="hr-HR" sz="1000" b="1" i="0" u="none" strike="noStrike" baseline="0">
                <a:effectLst/>
              </a:rPr>
              <a:t>a i </a:t>
            </a:r>
            <a:r>
              <a:rPr lang="en-US" sz="1000" b="1" i="0" u="none" strike="noStrike" baseline="0">
                <a:effectLst/>
              </a:rPr>
              <a:t>rad</a:t>
            </a:r>
            <a:r>
              <a:rPr lang="hr-HR" sz="1000" b="1" i="0" u="none" strike="noStrike" baseline="0">
                <a:effectLst/>
              </a:rPr>
              <a:t>ni</a:t>
            </a:r>
            <a:r>
              <a:rPr lang="en-US" sz="1000" b="1" i="0" u="none" strike="noStrike" baseline="0">
                <a:effectLst/>
              </a:rPr>
              <a:t>k</a:t>
            </a:r>
            <a:r>
              <a:rPr lang="hr-HR" sz="1000" b="1" i="0" u="none" strike="noStrike" baseline="0">
                <a:effectLst/>
              </a:rPr>
              <a:t>a</a:t>
            </a:r>
            <a:r>
              <a:rPr lang="en-GB" sz="1000">
                <a:solidFill>
                  <a:schemeClr val="tx2">
                    <a:lumMod val="50000"/>
                  </a:schemeClr>
                </a:solidFill>
              </a:rPr>
              <a:t> po spolu - radno mjesto</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v>Žene</c:v>
          </c:tx>
          <c:spPr>
            <a:solidFill>
              <a:srgbClr val="0099C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'[GEP_AMPEU_kadrovska analiza.xlsx]Svojstvo'!$P$4:$S$4</c:f>
              <c:strCache>
                <c:ptCount val="4"/>
                <c:pt idx="0">
                  <c:v>Viši stručni savjetnici/e</c:v>
                </c:pt>
                <c:pt idx="1">
                  <c:v>Stručni savjetnici/e</c:v>
                </c:pt>
                <c:pt idx="2">
                  <c:v>Stručni suradnici/e</c:v>
                </c:pt>
                <c:pt idx="3">
                  <c:v>Stručni referenti/ce</c:v>
                </c:pt>
              </c:strCache>
            </c:strRef>
          </c:cat>
          <c:val>
            <c:numRef>
              <c:f>'[GEP_AMPEU_kadrovska analiza.xlsx]Svojstvo'!$P$5:$S$5</c:f>
              <c:numCache>
                <c:formatCode>0%</c:formatCode>
                <c:ptCount val="4"/>
                <c:pt idx="0">
                  <c:v>0.88</c:v>
                </c:pt>
                <c:pt idx="1">
                  <c:v>0.83333333333333337</c:v>
                </c:pt>
                <c:pt idx="2">
                  <c:v>0.875</c:v>
                </c:pt>
                <c:pt idx="3">
                  <c:v>0.83333333333333337</c:v>
                </c:pt>
              </c:numCache>
            </c:numRef>
          </c:val>
          <c:extLst>
            <c:ext xmlns:c16="http://schemas.microsoft.com/office/drawing/2014/chart" uri="{C3380CC4-5D6E-409C-BE32-E72D297353CC}">
              <c16:uniqueId val="{00000000-9649-4533-B935-A30228991351}"/>
            </c:ext>
          </c:extLst>
        </c:ser>
        <c:ser>
          <c:idx val="1"/>
          <c:order val="1"/>
          <c:tx>
            <c:v>Muškarci</c:v>
          </c:tx>
          <c:spPr>
            <a:solidFill>
              <a:srgbClr val="E25B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'[GEP_AMPEU_kadrovska analiza.xlsx]Svojstvo'!$P$4:$S$4</c:f>
              <c:strCache>
                <c:ptCount val="4"/>
                <c:pt idx="0">
                  <c:v>Viši stručni savjetnici/e</c:v>
                </c:pt>
                <c:pt idx="1">
                  <c:v>Stručni savjetnici/e</c:v>
                </c:pt>
                <c:pt idx="2">
                  <c:v>Stručni suradnici/e</c:v>
                </c:pt>
                <c:pt idx="3">
                  <c:v>Stručni referenti/ce</c:v>
                </c:pt>
              </c:strCache>
            </c:strRef>
          </c:cat>
          <c:val>
            <c:numRef>
              <c:f>'[GEP_AMPEU_kadrovska analiza.xlsx]Svojstvo'!$P$6:$S$6</c:f>
              <c:numCache>
                <c:formatCode>0%</c:formatCode>
                <c:ptCount val="4"/>
                <c:pt idx="0">
                  <c:v>0.12</c:v>
                </c:pt>
                <c:pt idx="1">
                  <c:v>0.16666666666666666</c:v>
                </c:pt>
                <c:pt idx="2">
                  <c:v>0.125</c:v>
                </c:pt>
                <c:pt idx="3">
                  <c:v>0.16666666666666666</c:v>
                </c:pt>
              </c:numCache>
            </c:numRef>
          </c:val>
          <c:extLst>
            <c:ext xmlns:c16="http://schemas.microsoft.com/office/drawing/2014/chart" uri="{C3380CC4-5D6E-409C-BE32-E72D297353CC}">
              <c16:uniqueId val="{00000001-9649-4533-B935-A30228991351}"/>
            </c:ext>
          </c:extLst>
        </c:ser>
        <c:dLbls>
          <c:dLblPos val="ctr"/>
          <c:showLegendKey val="0"/>
          <c:showVal val="1"/>
          <c:showCatName val="0"/>
          <c:showSerName val="0"/>
          <c:showPercent val="0"/>
          <c:showBubbleSize val="0"/>
        </c:dLbls>
        <c:gapWidth val="150"/>
        <c:overlap val="100"/>
        <c:axId val="660476792"/>
        <c:axId val="660477776"/>
      </c:barChart>
      <c:catAx>
        <c:axId val="660476792"/>
        <c:scaling>
          <c:orientation val="maxMin"/>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60477776"/>
        <c:crosses val="autoZero"/>
        <c:auto val="1"/>
        <c:lblAlgn val="ctr"/>
        <c:lblOffset val="100"/>
        <c:noMultiLvlLbl val="0"/>
      </c:catAx>
      <c:valAx>
        <c:axId val="660477776"/>
        <c:scaling>
          <c:orientation val="minMax"/>
          <c:max val="1"/>
          <c:min val="0"/>
        </c:scaling>
        <c:delete val="0"/>
        <c:axPos val="r"/>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60476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GB" sz="1000">
                <a:solidFill>
                  <a:schemeClr val="tx2">
                    <a:lumMod val="50000"/>
                  </a:schemeClr>
                </a:solidFill>
              </a:rPr>
              <a:t>Raspodjela</a:t>
            </a:r>
            <a:r>
              <a:rPr lang="hr-HR" sz="1000" baseline="0">
                <a:solidFill>
                  <a:schemeClr val="tx2">
                    <a:lumMod val="50000"/>
                  </a:schemeClr>
                </a:solidFill>
              </a:rPr>
              <a:t> rad</a:t>
            </a:r>
            <a:r>
              <a:rPr lang="en-GB" sz="1000">
                <a:solidFill>
                  <a:schemeClr val="tx2">
                    <a:lumMod val="50000"/>
                  </a:schemeClr>
                </a:solidFill>
              </a:rPr>
              <a:t>nica</a:t>
            </a:r>
            <a:r>
              <a:rPr lang="en-GB" sz="1000" baseline="0">
                <a:solidFill>
                  <a:schemeClr val="tx2">
                    <a:lumMod val="50000"/>
                  </a:schemeClr>
                </a:solidFill>
              </a:rPr>
              <a:t> i </a:t>
            </a:r>
            <a:r>
              <a:rPr lang="hr-HR" sz="1000" baseline="0">
                <a:solidFill>
                  <a:schemeClr val="tx2">
                    <a:lumMod val="50000"/>
                  </a:schemeClr>
                </a:solidFill>
              </a:rPr>
              <a:t>rad</a:t>
            </a:r>
            <a:r>
              <a:rPr lang="en-GB" sz="1000" baseline="0">
                <a:solidFill>
                  <a:schemeClr val="tx2">
                    <a:lumMod val="50000"/>
                  </a:schemeClr>
                </a:solidFill>
              </a:rPr>
              <a:t>nika</a:t>
            </a:r>
            <a:r>
              <a:rPr lang="en-GB" sz="1000">
                <a:solidFill>
                  <a:schemeClr val="tx2">
                    <a:lumMod val="50000"/>
                  </a:schemeClr>
                </a:solidFill>
              </a:rPr>
              <a:t> po spolu unutar službi </a:t>
            </a:r>
            <a:r>
              <a:rPr lang="hr-HR" sz="1000" b="1" i="0" u="none" strike="noStrike" baseline="0">
                <a:effectLst/>
              </a:rPr>
              <a:t>i Ureda ravnatelja</a:t>
            </a:r>
            <a:endParaRPr lang="en-GB" sz="1000">
              <a:solidFill>
                <a:schemeClr val="tx2">
                  <a:lumMod val="50000"/>
                </a:schemeClr>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v>Žene</c:v>
          </c:tx>
          <c:spPr>
            <a:solidFill>
              <a:srgbClr val="0099C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Službe!$P$3:$U$3</c:f>
              <c:strCache>
                <c:ptCount val="6"/>
                <c:pt idx="0">
                  <c:v>Služba za potporu programima EU</c:v>
                </c:pt>
                <c:pt idx="1">
                  <c:v>Služba za financiranje EU projekata </c:v>
                </c:pt>
                <c:pt idx="2">
                  <c:v>Služba za obrazovanje </c:v>
                </c:pt>
                <c:pt idx="3">
                  <c:v>Služba za mlade i cjeloživotno učenje</c:v>
                </c:pt>
                <c:pt idx="4">
                  <c:v>Služba za znanost</c:v>
                </c:pt>
                <c:pt idx="5">
                  <c:v>Ured ravnatelja</c:v>
                </c:pt>
              </c:strCache>
            </c:strRef>
          </c:cat>
          <c:val>
            <c:numRef>
              <c:f>Službe!$P$4:$U$4</c:f>
              <c:numCache>
                <c:formatCode>0%</c:formatCode>
                <c:ptCount val="6"/>
                <c:pt idx="0">
                  <c:v>0.94736842105263153</c:v>
                </c:pt>
                <c:pt idx="1">
                  <c:v>0.8571428571428571</c:v>
                </c:pt>
                <c:pt idx="2">
                  <c:v>0.79166666666666663</c:v>
                </c:pt>
                <c:pt idx="3">
                  <c:v>0.95454545454545459</c:v>
                </c:pt>
                <c:pt idx="4">
                  <c:v>0.8</c:v>
                </c:pt>
                <c:pt idx="5">
                  <c:v>1</c:v>
                </c:pt>
              </c:numCache>
            </c:numRef>
          </c:val>
          <c:extLst>
            <c:ext xmlns:c16="http://schemas.microsoft.com/office/drawing/2014/chart" uri="{C3380CC4-5D6E-409C-BE32-E72D297353CC}">
              <c16:uniqueId val="{00000000-61F8-44DC-BAB9-1F54F8B9A3A4}"/>
            </c:ext>
          </c:extLst>
        </c:ser>
        <c:ser>
          <c:idx val="1"/>
          <c:order val="1"/>
          <c:tx>
            <c:v>Muškarci</c:v>
          </c:tx>
          <c:spPr>
            <a:solidFill>
              <a:srgbClr val="E25B00"/>
            </a:solidFill>
            <a:ln>
              <a:noFill/>
            </a:ln>
            <a:effectLst/>
          </c:spPr>
          <c:invertIfNegative val="0"/>
          <c:dLbls>
            <c:dLbl>
              <c:idx val="0"/>
              <c:layout>
                <c:manualLayout>
                  <c:x val="0"/>
                  <c:y val="1.764057331863285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03-428E-8BC2-0E8FC2596DE9}"/>
                </c:ext>
              </c:extLst>
            </c:dLbl>
            <c:dLbl>
              <c:idx val="3"/>
              <c:layout>
                <c:manualLayout>
                  <c:x val="0"/>
                  <c:y val="2.2050716648291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03-428E-8BC2-0E8FC2596DE9}"/>
                </c:ext>
              </c:extLst>
            </c:dLbl>
            <c:dLbl>
              <c:idx val="5"/>
              <c:layout>
                <c:manualLayout>
                  <c:x val="-9.9501338114240376E-17"/>
                  <c:y val="3.08710033076074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03-428E-8BC2-0E8FC2596DE9}"/>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Službe!$P$3:$U$3</c:f>
              <c:strCache>
                <c:ptCount val="6"/>
                <c:pt idx="0">
                  <c:v>Služba za potporu programima EU</c:v>
                </c:pt>
                <c:pt idx="1">
                  <c:v>Služba za financiranje EU projekata </c:v>
                </c:pt>
                <c:pt idx="2">
                  <c:v>Služba za obrazovanje </c:v>
                </c:pt>
                <c:pt idx="3">
                  <c:v>Služba za mlade i cjeloživotno učenje</c:v>
                </c:pt>
                <c:pt idx="4">
                  <c:v>Služba za znanost</c:v>
                </c:pt>
                <c:pt idx="5">
                  <c:v>Ured ravnatelja</c:v>
                </c:pt>
              </c:strCache>
            </c:strRef>
          </c:cat>
          <c:val>
            <c:numRef>
              <c:f>Službe!$P$5:$U$5</c:f>
              <c:numCache>
                <c:formatCode>0%</c:formatCode>
                <c:ptCount val="6"/>
                <c:pt idx="0">
                  <c:v>5.2631578947368418E-2</c:v>
                </c:pt>
                <c:pt idx="1">
                  <c:v>0.14285714285714285</c:v>
                </c:pt>
                <c:pt idx="2">
                  <c:v>0.20833333333333334</c:v>
                </c:pt>
                <c:pt idx="3">
                  <c:v>4.5454545454545456E-2</c:v>
                </c:pt>
                <c:pt idx="4">
                  <c:v>0.2</c:v>
                </c:pt>
                <c:pt idx="5">
                  <c:v>0</c:v>
                </c:pt>
              </c:numCache>
            </c:numRef>
          </c:val>
          <c:extLst>
            <c:ext xmlns:c16="http://schemas.microsoft.com/office/drawing/2014/chart" uri="{C3380CC4-5D6E-409C-BE32-E72D297353CC}">
              <c16:uniqueId val="{00000001-61F8-44DC-BAB9-1F54F8B9A3A4}"/>
            </c:ext>
          </c:extLst>
        </c:ser>
        <c:dLbls>
          <c:dLblPos val="ctr"/>
          <c:showLegendKey val="0"/>
          <c:showVal val="1"/>
          <c:showCatName val="0"/>
          <c:showSerName val="0"/>
          <c:showPercent val="0"/>
          <c:showBubbleSize val="0"/>
        </c:dLbls>
        <c:gapWidth val="150"/>
        <c:overlap val="100"/>
        <c:axId val="472142984"/>
        <c:axId val="328795664"/>
      </c:barChart>
      <c:catAx>
        <c:axId val="472142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328795664"/>
        <c:crosses val="autoZero"/>
        <c:auto val="1"/>
        <c:lblAlgn val="ctr"/>
        <c:lblOffset val="100"/>
        <c:noMultiLvlLbl val="0"/>
      </c:catAx>
      <c:valAx>
        <c:axId val="328795664"/>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7214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GB" sz="1100">
                <a:solidFill>
                  <a:schemeClr val="tx2">
                    <a:lumMod val="50000"/>
                  </a:schemeClr>
                </a:solidFill>
              </a:rPr>
              <a:t>Raspodjela </a:t>
            </a:r>
            <a:r>
              <a:rPr lang="hr-HR" sz="1100" b="1" i="0" u="none" strike="noStrike" baseline="0">
                <a:solidFill>
                  <a:srgbClr val="1F497D">
                    <a:lumMod val="50000"/>
                  </a:srgbClr>
                </a:solidFill>
                <a:effectLst/>
              </a:rPr>
              <a:t>rad</a:t>
            </a:r>
            <a:r>
              <a:rPr lang="hr-HR" sz="1100" b="1" i="0" u="none" strike="noStrike" baseline="0">
                <a:effectLst/>
              </a:rPr>
              <a:t>ni</a:t>
            </a:r>
            <a:r>
              <a:rPr lang="en-US" sz="1100" b="1" i="0" u="none" strike="noStrike" baseline="0">
                <a:effectLst/>
              </a:rPr>
              <a:t>c</a:t>
            </a:r>
            <a:r>
              <a:rPr lang="hr-HR" sz="1100" b="1" i="0" u="none" strike="noStrike" baseline="0">
                <a:effectLst/>
              </a:rPr>
              <a:t>a i radni</a:t>
            </a:r>
            <a:r>
              <a:rPr lang="en-US" sz="1100" b="1" i="0" u="none" strike="noStrike" baseline="0">
                <a:effectLst/>
              </a:rPr>
              <a:t>k</a:t>
            </a:r>
            <a:r>
              <a:rPr lang="hr-HR" sz="1100" b="1" i="0" u="none" strike="noStrike" baseline="0">
                <a:effectLst/>
              </a:rPr>
              <a:t>a</a:t>
            </a:r>
            <a:r>
              <a:rPr lang="en-GB" sz="1100">
                <a:solidFill>
                  <a:schemeClr val="tx2">
                    <a:lumMod val="50000"/>
                  </a:schemeClr>
                </a:solidFill>
              </a:rPr>
              <a:t> po spolu - aspekti radnog odnosa</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v>Žene</c:v>
          </c:tx>
          <c:spPr>
            <a:solidFill>
              <a:srgbClr val="0099C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'[GEP_AMPEU_kadrovska analiza.xlsx]Aspekti radnog odnosa'!$O$3:$S$3</c:f>
              <c:strCache>
                <c:ptCount val="5"/>
                <c:pt idx="0">
                  <c:v>Rad na neodređeno vrijeme</c:v>
                </c:pt>
                <c:pt idx="1">
                  <c:v>Rad na određeno vrijeme</c:v>
                </c:pt>
                <c:pt idx="2">
                  <c:v>Zaposlenja u 2021. godini</c:v>
                </c:pt>
                <c:pt idx="3">
                  <c:v>Prestanci radnog odnosa u 2021.</c:v>
                </c:pt>
                <c:pt idx="4">
                  <c:v>Korištenja rodiljnog / roditeljskog dopusta u 2021.</c:v>
                </c:pt>
              </c:strCache>
            </c:strRef>
          </c:cat>
          <c:val>
            <c:numRef>
              <c:f>'[GEP_AMPEU_kadrovska analiza.xlsx]Aspekti radnog odnosa'!$O$4:$S$4</c:f>
              <c:numCache>
                <c:formatCode>0%</c:formatCode>
                <c:ptCount val="5"/>
                <c:pt idx="0">
                  <c:v>0.87912087912087911</c:v>
                </c:pt>
                <c:pt idx="1">
                  <c:v>0.75</c:v>
                </c:pt>
                <c:pt idx="2">
                  <c:v>0.7857142857142857</c:v>
                </c:pt>
                <c:pt idx="3">
                  <c:v>1</c:v>
                </c:pt>
                <c:pt idx="4">
                  <c:v>1</c:v>
                </c:pt>
              </c:numCache>
            </c:numRef>
          </c:val>
          <c:extLst>
            <c:ext xmlns:c16="http://schemas.microsoft.com/office/drawing/2014/chart" uri="{C3380CC4-5D6E-409C-BE32-E72D297353CC}">
              <c16:uniqueId val="{00000000-F4BB-4B79-83B6-F10AB2E2A4E7}"/>
            </c:ext>
          </c:extLst>
        </c:ser>
        <c:ser>
          <c:idx val="1"/>
          <c:order val="1"/>
          <c:tx>
            <c:v>Muškarci</c:v>
          </c:tx>
          <c:spPr>
            <a:solidFill>
              <a:srgbClr val="E25B00"/>
            </a:solidFill>
            <a:ln>
              <a:noFill/>
            </a:ln>
            <a:effectLst/>
          </c:spPr>
          <c:invertIfNegative val="0"/>
          <c:dLbls>
            <c:dLbl>
              <c:idx val="3"/>
              <c:layout>
                <c:manualLayout>
                  <c:x val="0"/>
                  <c:y val="3.52811466372657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E6-45E0-8D11-5209CC314363}"/>
                </c:ext>
              </c:extLst>
            </c:dLbl>
            <c:dLbl>
              <c:idx val="4"/>
              <c:layout>
                <c:manualLayout>
                  <c:x val="0"/>
                  <c:y val="3.96912899669239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E6-45E0-8D11-5209CC314363}"/>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'[GEP_AMPEU_kadrovska analiza.xlsx]Aspekti radnog odnosa'!$O$3:$S$3</c:f>
              <c:strCache>
                <c:ptCount val="5"/>
                <c:pt idx="0">
                  <c:v>Rad na neodređeno vrijeme</c:v>
                </c:pt>
                <c:pt idx="1">
                  <c:v>Rad na određeno vrijeme</c:v>
                </c:pt>
                <c:pt idx="2">
                  <c:v>Zaposlenja u 2021. godini</c:v>
                </c:pt>
                <c:pt idx="3">
                  <c:v>Prestanci radnog odnosa u 2021.</c:v>
                </c:pt>
                <c:pt idx="4">
                  <c:v>Korištenja rodiljnog / roditeljskog dopusta u 2021.</c:v>
                </c:pt>
              </c:strCache>
            </c:strRef>
          </c:cat>
          <c:val>
            <c:numRef>
              <c:f>'[GEP_AMPEU_kadrovska analiza.xlsx]Aspekti radnog odnosa'!$O$5:$S$5</c:f>
              <c:numCache>
                <c:formatCode>0%</c:formatCode>
                <c:ptCount val="5"/>
                <c:pt idx="0">
                  <c:v>0.12087912087912088</c:v>
                </c:pt>
                <c:pt idx="1">
                  <c:v>0.25</c:v>
                </c:pt>
                <c:pt idx="2">
                  <c:v>0.21428571428571427</c:v>
                </c:pt>
                <c:pt idx="3">
                  <c:v>0</c:v>
                </c:pt>
                <c:pt idx="4">
                  <c:v>0</c:v>
                </c:pt>
              </c:numCache>
            </c:numRef>
          </c:val>
          <c:extLst>
            <c:ext xmlns:c16="http://schemas.microsoft.com/office/drawing/2014/chart" uri="{C3380CC4-5D6E-409C-BE32-E72D297353CC}">
              <c16:uniqueId val="{00000001-F4BB-4B79-83B6-F10AB2E2A4E7}"/>
            </c:ext>
          </c:extLst>
        </c:ser>
        <c:dLbls>
          <c:dLblPos val="ctr"/>
          <c:showLegendKey val="0"/>
          <c:showVal val="1"/>
          <c:showCatName val="0"/>
          <c:showSerName val="0"/>
          <c:showPercent val="0"/>
          <c:showBubbleSize val="0"/>
        </c:dLbls>
        <c:gapWidth val="150"/>
        <c:overlap val="100"/>
        <c:axId val="468265608"/>
        <c:axId val="468260032"/>
      </c:barChart>
      <c:catAx>
        <c:axId val="4682656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68260032"/>
        <c:crosses val="autoZero"/>
        <c:auto val="1"/>
        <c:lblAlgn val="ctr"/>
        <c:lblOffset val="100"/>
        <c:noMultiLvlLbl val="0"/>
      </c:catAx>
      <c:valAx>
        <c:axId val="468260032"/>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68265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a0a812-136f-4ea9-9d0e-4cd82503c772" xsi:nil="true"/>
    <lcf76f155ced4ddcb4097134ff3c332f xmlns="7739b24c-f2d0-470f-b9c6-a971417a7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CA657B38092478A793BD8A2791033" ma:contentTypeVersion="17" ma:contentTypeDescription="Create a new document." ma:contentTypeScope="" ma:versionID="323f9226315f1662b074b574a27a8f2c">
  <xsd:schema xmlns:xsd="http://www.w3.org/2001/XMLSchema" xmlns:xs="http://www.w3.org/2001/XMLSchema" xmlns:p="http://schemas.microsoft.com/office/2006/metadata/properties" xmlns:ns2="7739b24c-f2d0-470f-b9c6-a971417a76a6" xmlns:ns3="1da0a812-136f-4ea9-9d0e-4cd82503c772" targetNamespace="http://schemas.microsoft.com/office/2006/metadata/properties" ma:root="true" ma:fieldsID="2373f7133f8dcc472035fe61cfba57eb" ns2:_="" ns3:_="">
    <xsd:import namespace="7739b24c-f2d0-470f-b9c6-a971417a76a6"/>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9b24c-f2d0-470f-b9c6-a971417a7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443efb-bd8e-4c6f-a0e0-809438d172d5}" ma:internalName="TaxCatchAll" ma:showField="CatchAllData" ma:web="1da0a812-136f-4ea9-9d0e-4cd82503c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7E39-FC64-49C4-8FE3-C9F6D750E4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D907E-5A23-4F0B-9CF3-F19F716BFAE0}">
  <ds:schemaRefs>
    <ds:schemaRef ds:uri="http://schemas.microsoft.com/sharepoint/v3/contenttype/forms"/>
  </ds:schemaRefs>
</ds:datastoreItem>
</file>

<file path=customXml/itemProps3.xml><?xml version="1.0" encoding="utf-8"?>
<ds:datastoreItem xmlns:ds="http://schemas.openxmlformats.org/officeDocument/2006/customXml" ds:itemID="{FF54D0B2-05A3-4E98-B99F-616B18F94824}"/>
</file>

<file path=customXml/itemProps4.xml><?xml version="1.0" encoding="utf-8"?>
<ds:datastoreItem xmlns:ds="http://schemas.openxmlformats.org/officeDocument/2006/customXml" ds:itemID="{EEE2CE94-5A6A-473A-A991-DE604E9D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 Prezime</dc:creator>
  <cp:keywords/>
  <cp:lastModifiedBy>Ivan Makovec</cp:lastModifiedBy>
  <cp:revision>2</cp:revision>
  <dcterms:created xsi:type="dcterms:W3CDTF">2022-05-27T07:57:00Z</dcterms:created>
  <dcterms:modified xsi:type="dcterms:W3CDTF">2022-05-27T07:57:00Z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0x010100277CA657B38092478A793BD8A2791033</vt:lpwstr>
  </property>
</Properties>
</file>